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6039E" w14:textId="77777777" w:rsidR="00F746DC" w:rsidRDefault="00F746DC" w:rsidP="00F746DC">
      <w:pPr>
        <w:rPr>
          <w:lang w:eastAsia="en-US"/>
        </w:rPr>
      </w:pPr>
    </w:p>
    <w:p w14:paraId="7E859AA3" w14:textId="77777777" w:rsidR="002A71A0" w:rsidRDefault="002A71A0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668A620A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65DFF92A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5C66B0CC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6A997B91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1D265460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627FB386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581714EA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088A2ACE" w14:textId="77777777" w:rsidR="00497A0B" w:rsidRDefault="00497A0B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3798D37D" w14:textId="77777777" w:rsidR="00497A0B" w:rsidRDefault="00497A0B" w:rsidP="00497A0B">
      <w:pPr>
        <w:rPr>
          <w:lang w:eastAsia="en-US"/>
        </w:rPr>
      </w:pPr>
    </w:p>
    <w:p w14:paraId="7CF63427" w14:textId="77777777" w:rsidR="00497A0B" w:rsidRDefault="00497A0B" w:rsidP="00497A0B">
      <w:pPr>
        <w:rPr>
          <w:lang w:eastAsia="en-US"/>
        </w:rPr>
      </w:pPr>
    </w:p>
    <w:p w14:paraId="0C3BC2E4" w14:textId="77777777" w:rsidR="00CF762B" w:rsidRDefault="00CF762B" w:rsidP="00497A0B">
      <w:pPr>
        <w:rPr>
          <w:lang w:eastAsia="en-US"/>
        </w:rPr>
      </w:pPr>
    </w:p>
    <w:p w14:paraId="6BB06F14" w14:textId="77777777" w:rsidR="00497A0B" w:rsidRDefault="00497A0B" w:rsidP="00497A0B">
      <w:pPr>
        <w:rPr>
          <w:lang w:eastAsia="en-US"/>
        </w:rPr>
      </w:pPr>
    </w:p>
    <w:p w14:paraId="6AA252B1" w14:textId="77777777" w:rsidR="00497A0B" w:rsidRDefault="00497A0B" w:rsidP="00497A0B">
      <w:pPr>
        <w:rPr>
          <w:lang w:eastAsia="en-US"/>
        </w:rPr>
      </w:pPr>
    </w:p>
    <w:p w14:paraId="704B3706" w14:textId="77777777" w:rsidR="00497A0B" w:rsidRPr="00497A0B" w:rsidRDefault="00497A0B" w:rsidP="00497A0B">
      <w:pPr>
        <w:rPr>
          <w:lang w:eastAsia="en-US"/>
        </w:rPr>
      </w:pPr>
    </w:p>
    <w:p w14:paraId="108AE282" w14:textId="4A9B52C7" w:rsidR="00497A0B" w:rsidRDefault="00CF762B" w:rsidP="00497A0B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Previsió de tancament del compte de pèrdues i guanys i balanç a 31 de desembre de 20</w:t>
      </w:r>
      <w:r w:rsidR="00267818">
        <w:rPr>
          <w:rFonts w:ascii="Arial" w:hAnsi="Arial" w:cs="Arial"/>
          <w:color w:val="auto"/>
          <w:sz w:val="32"/>
          <w:szCs w:val="32"/>
        </w:rPr>
        <w:t>2</w:t>
      </w:r>
      <w:r w:rsidR="003D246B">
        <w:rPr>
          <w:rFonts w:ascii="Arial" w:hAnsi="Arial" w:cs="Arial"/>
          <w:color w:val="auto"/>
          <w:sz w:val="32"/>
          <w:szCs w:val="32"/>
        </w:rPr>
        <w:t>5</w:t>
      </w:r>
    </w:p>
    <w:p w14:paraId="3B205C7C" w14:textId="77777777" w:rsidR="00497A0B" w:rsidRDefault="00497A0B" w:rsidP="00497A0B">
      <w:pPr>
        <w:rPr>
          <w:lang w:eastAsia="en-US"/>
        </w:rPr>
      </w:pPr>
    </w:p>
    <w:p w14:paraId="6388D0EB" w14:textId="77777777" w:rsidR="00497A0B" w:rsidRDefault="00497A0B" w:rsidP="00497A0B">
      <w:pPr>
        <w:rPr>
          <w:lang w:eastAsia="en-US"/>
        </w:rPr>
      </w:pPr>
    </w:p>
    <w:p w14:paraId="12C3B957" w14:textId="77777777" w:rsidR="00497A0B" w:rsidRDefault="00497A0B" w:rsidP="00497A0B">
      <w:pPr>
        <w:rPr>
          <w:lang w:eastAsia="en-US"/>
        </w:rPr>
      </w:pPr>
    </w:p>
    <w:p w14:paraId="79A9FCA5" w14:textId="77777777" w:rsidR="00497A0B" w:rsidRDefault="00497A0B" w:rsidP="00497A0B">
      <w:pPr>
        <w:rPr>
          <w:lang w:eastAsia="en-US"/>
        </w:rPr>
      </w:pPr>
    </w:p>
    <w:p w14:paraId="094E2F12" w14:textId="77777777" w:rsidR="00497A0B" w:rsidRDefault="00497A0B" w:rsidP="00497A0B">
      <w:pPr>
        <w:rPr>
          <w:lang w:eastAsia="en-US"/>
        </w:rPr>
      </w:pPr>
    </w:p>
    <w:p w14:paraId="17707306" w14:textId="77777777" w:rsidR="008E624E" w:rsidRDefault="008E624E" w:rsidP="00497A0B">
      <w:pPr>
        <w:rPr>
          <w:lang w:eastAsia="en-US"/>
        </w:rPr>
      </w:pPr>
    </w:p>
    <w:p w14:paraId="4FF96A78" w14:textId="77777777" w:rsidR="008E624E" w:rsidRDefault="008E624E" w:rsidP="00497A0B">
      <w:pPr>
        <w:rPr>
          <w:lang w:eastAsia="en-US"/>
        </w:rPr>
      </w:pPr>
    </w:p>
    <w:p w14:paraId="2E766DC3" w14:textId="77777777" w:rsidR="008E624E" w:rsidRDefault="008E624E" w:rsidP="00497A0B">
      <w:pPr>
        <w:rPr>
          <w:lang w:eastAsia="en-US"/>
        </w:rPr>
      </w:pPr>
    </w:p>
    <w:p w14:paraId="105DA876" w14:textId="77777777" w:rsidR="008E624E" w:rsidRDefault="008E624E" w:rsidP="00497A0B">
      <w:pPr>
        <w:rPr>
          <w:lang w:eastAsia="en-US"/>
        </w:rPr>
      </w:pPr>
    </w:p>
    <w:p w14:paraId="74146971" w14:textId="77777777" w:rsidR="008E624E" w:rsidRDefault="008E624E" w:rsidP="00497A0B">
      <w:pPr>
        <w:rPr>
          <w:lang w:eastAsia="en-US"/>
        </w:rPr>
      </w:pPr>
    </w:p>
    <w:p w14:paraId="4E1E0531" w14:textId="77777777" w:rsidR="00497A0B" w:rsidRDefault="00497A0B" w:rsidP="00497A0B">
      <w:pPr>
        <w:rPr>
          <w:lang w:eastAsia="en-US"/>
        </w:rPr>
      </w:pPr>
    </w:p>
    <w:p w14:paraId="70BA0D6D" w14:textId="77777777" w:rsidR="00497A0B" w:rsidRDefault="00497A0B" w:rsidP="00497A0B">
      <w:pPr>
        <w:rPr>
          <w:lang w:eastAsia="en-US"/>
        </w:rPr>
      </w:pPr>
    </w:p>
    <w:p w14:paraId="2CA20CA1" w14:textId="77777777" w:rsidR="00497A0B" w:rsidRDefault="00497A0B" w:rsidP="00497A0B">
      <w:pPr>
        <w:rPr>
          <w:lang w:eastAsia="en-US"/>
        </w:rPr>
      </w:pPr>
    </w:p>
    <w:p w14:paraId="5FCB440B" w14:textId="77777777" w:rsidR="00497A0B" w:rsidRDefault="00497A0B" w:rsidP="00497A0B">
      <w:pPr>
        <w:rPr>
          <w:lang w:eastAsia="en-US"/>
        </w:rPr>
      </w:pPr>
    </w:p>
    <w:p w14:paraId="13FE45BF" w14:textId="77777777" w:rsidR="00497A0B" w:rsidRDefault="00497A0B" w:rsidP="00497A0B">
      <w:pPr>
        <w:rPr>
          <w:lang w:eastAsia="en-US"/>
        </w:rPr>
      </w:pPr>
    </w:p>
    <w:p w14:paraId="1CC66B82" w14:textId="77777777" w:rsidR="00497A0B" w:rsidRDefault="00497A0B" w:rsidP="00497A0B">
      <w:pPr>
        <w:rPr>
          <w:lang w:eastAsia="en-US"/>
        </w:rPr>
      </w:pPr>
    </w:p>
    <w:p w14:paraId="031719C5" w14:textId="77777777" w:rsidR="00497A0B" w:rsidRDefault="00497A0B" w:rsidP="00497A0B">
      <w:pPr>
        <w:rPr>
          <w:lang w:eastAsia="en-US"/>
        </w:rPr>
      </w:pPr>
    </w:p>
    <w:p w14:paraId="28444F3E" w14:textId="77777777" w:rsidR="00497A0B" w:rsidRDefault="00497A0B" w:rsidP="00497A0B">
      <w:pPr>
        <w:rPr>
          <w:lang w:eastAsia="en-US"/>
        </w:rPr>
      </w:pPr>
    </w:p>
    <w:p w14:paraId="5FA0CB99" w14:textId="77777777" w:rsidR="00497A0B" w:rsidRDefault="00497A0B" w:rsidP="00497A0B">
      <w:pPr>
        <w:rPr>
          <w:lang w:eastAsia="en-US"/>
        </w:rPr>
      </w:pPr>
    </w:p>
    <w:p w14:paraId="36AFA7C4" w14:textId="77777777" w:rsidR="00497A0B" w:rsidRDefault="00497A0B" w:rsidP="00497A0B">
      <w:pPr>
        <w:rPr>
          <w:lang w:eastAsia="en-US"/>
        </w:rPr>
      </w:pPr>
    </w:p>
    <w:p w14:paraId="0BC3D55C" w14:textId="77777777" w:rsidR="00497A0B" w:rsidRDefault="00497A0B" w:rsidP="00497A0B">
      <w:pPr>
        <w:rPr>
          <w:lang w:eastAsia="en-US"/>
        </w:rPr>
      </w:pPr>
    </w:p>
    <w:p w14:paraId="72DCE503" w14:textId="77777777" w:rsidR="00497A0B" w:rsidRDefault="00497A0B" w:rsidP="00497A0B">
      <w:pPr>
        <w:rPr>
          <w:lang w:eastAsia="en-US"/>
        </w:rPr>
      </w:pPr>
    </w:p>
    <w:p w14:paraId="1F4AA5F1" w14:textId="77777777" w:rsidR="00497A0B" w:rsidRDefault="00497A0B" w:rsidP="00497A0B">
      <w:pPr>
        <w:rPr>
          <w:lang w:eastAsia="en-US"/>
        </w:rPr>
      </w:pPr>
    </w:p>
    <w:p w14:paraId="0DCCE027" w14:textId="77777777" w:rsidR="00497A0B" w:rsidRDefault="00497A0B" w:rsidP="00497A0B">
      <w:pPr>
        <w:rPr>
          <w:lang w:eastAsia="en-US"/>
        </w:rPr>
      </w:pPr>
    </w:p>
    <w:p w14:paraId="07BFE43B" w14:textId="77777777" w:rsidR="00497A0B" w:rsidRDefault="00497A0B" w:rsidP="00497A0B">
      <w:pPr>
        <w:rPr>
          <w:lang w:eastAsia="en-US"/>
        </w:rPr>
      </w:pPr>
    </w:p>
    <w:p w14:paraId="67A3576A" w14:textId="77777777" w:rsidR="00497A0B" w:rsidRDefault="00497A0B" w:rsidP="00497A0B">
      <w:pPr>
        <w:rPr>
          <w:lang w:eastAsia="en-US"/>
        </w:rPr>
      </w:pPr>
    </w:p>
    <w:p w14:paraId="005D6F41" w14:textId="77777777" w:rsidR="00497A0B" w:rsidRDefault="00497A0B" w:rsidP="00497A0B">
      <w:pPr>
        <w:rPr>
          <w:lang w:eastAsia="en-US"/>
        </w:rPr>
      </w:pPr>
    </w:p>
    <w:p w14:paraId="1B81B9C0" w14:textId="77777777" w:rsidR="00497A0B" w:rsidRDefault="00497A0B" w:rsidP="00497A0B">
      <w:pPr>
        <w:rPr>
          <w:lang w:eastAsia="en-US"/>
        </w:rPr>
      </w:pPr>
    </w:p>
    <w:p w14:paraId="5ABFC9E0" w14:textId="77777777" w:rsidR="00497A0B" w:rsidRDefault="00497A0B" w:rsidP="00497A0B">
      <w:pPr>
        <w:rPr>
          <w:lang w:eastAsia="en-US"/>
        </w:rPr>
      </w:pPr>
    </w:p>
    <w:p w14:paraId="0AB07769" w14:textId="1E287B97" w:rsidR="00497A0B" w:rsidRDefault="003D246B" w:rsidP="008E624E">
      <w:pPr>
        <w:ind w:left="-567"/>
        <w:rPr>
          <w:lang w:eastAsia="en-US"/>
        </w:rPr>
      </w:pPr>
      <w:r w:rsidRPr="003D246B">
        <w:rPr>
          <w:noProof/>
        </w:rPr>
        <w:drawing>
          <wp:inline distT="0" distB="0" distL="0" distR="0" wp14:anchorId="53337F46" wp14:editId="13BB4A4A">
            <wp:extent cx="6280513" cy="6896100"/>
            <wp:effectExtent l="0" t="0" r="6350" b="0"/>
            <wp:docPr id="371808095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530" cy="6900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1B33D" w14:textId="77777777" w:rsidR="00497A0B" w:rsidRDefault="00497A0B" w:rsidP="00497A0B">
      <w:pPr>
        <w:rPr>
          <w:lang w:eastAsia="en-US"/>
        </w:rPr>
      </w:pPr>
    </w:p>
    <w:p w14:paraId="23A5F890" w14:textId="77777777" w:rsidR="00492F3C" w:rsidRDefault="00492F3C" w:rsidP="00F216E3">
      <w:pPr>
        <w:rPr>
          <w:lang w:eastAsia="en-US"/>
        </w:rPr>
      </w:pPr>
    </w:p>
    <w:p w14:paraId="313D7824" w14:textId="77777777" w:rsidR="00497A0B" w:rsidRDefault="00497A0B" w:rsidP="00497A0B">
      <w:pPr>
        <w:rPr>
          <w:lang w:eastAsia="en-US"/>
        </w:rPr>
      </w:pPr>
    </w:p>
    <w:p w14:paraId="1E36D007" w14:textId="77777777" w:rsidR="00497A0B" w:rsidRDefault="00497A0B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7D752F1" w14:textId="77777777" w:rsidR="00497A0B" w:rsidRDefault="00497A0B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2F9A68E" w14:textId="77777777" w:rsidR="007637FF" w:rsidRDefault="007637FF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0"/>
        <w:gridCol w:w="1940"/>
        <w:gridCol w:w="1680"/>
      </w:tblGrid>
      <w:tr w:rsidR="003D246B" w14:paraId="16018D65" w14:textId="77777777" w:rsidTr="003D246B">
        <w:trPr>
          <w:trHeight w:val="600"/>
          <w:jc w:val="center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95012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FUNDACIÓ BARCELONA CULTURA</w:t>
            </w:r>
          </w:p>
        </w:tc>
      </w:tr>
      <w:tr w:rsidR="003D246B" w14:paraId="6487BF17" w14:textId="77777777" w:rsidTr="003D246B">
        <w:trPr>
          <w:trHeight w:val="225"/>
          <w:jc w:val="center"/>
        </w:trPr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A20C6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E837E7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B568F1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0338FED5" w14:textId="77777777" w:rsidTr="003D246B">
        <w:trPr>
          <w:trHeight w:val="499"/>
          <w:jc w:val="center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AB184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BALANÇOS ABREUJATS AL 31 DE DESEMBRE 2025 (previsió) I 2024 (en euros)</w:t>
            </w:r>
          </w:p>
        </w:tc>
      </w:tr>
      <w:tr w:rsidR="003D246B" w14:paraId="7EA970B0" w14:textId="77777777" w:rsidTr="003D246B">
        <w:trPr>
          <w:trHeight w:val="499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4D7BE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56DDE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49FF5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3677F8FF" w14:textId="77777777" w:rsidTr="003D246B">
        <w:trPr>
          <w:trHeight w:val="450"/>
          <w:jc w:val="center"/>
        </w:trPr>
        <w:tc>
          <w:tcPr>
            <w:tcW w:w="5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555055A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ACTIU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9BB1972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9CC1CC1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3D246B" w14:paraId="622917BC" w14:textId="77777777" w:rsidTr="003D246B">
        <w:trPr>
          <w:trHeight w:val="225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982328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98B2C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AD086D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3D246B" w14:paraId="0CD1DE9D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8074D7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ACTIU NO CORRENT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40F4B60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11.547.550,77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9CB7198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11.547.550,77</w:t>
            </w:r>
          </w:p>
        </w:tc>
      </w:tr>
      <w:tr w:rsidR="003D246B" w14:paraId="7058E954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55F364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732AB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FC72D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39D3154B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FC2F82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Immobilitzat intangible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74898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68DC2B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D246B" w14:paraId="3C584FB8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E4B682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Aplicacions informàtiques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3A9861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4A484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</w:tr>
      <w:tr w:rsidR="003D246B" w14:paraId="7E3FFC3F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F711AC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6DC66D" w14:textId="77777777" w:rsidR="003D246B" w:rsidRDefault="003D24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6246B9" w14:textId="77777777" w:rsidR="003D246B" w:rsidRDefault="003D24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3D246B" w14:paraId="6EDAD987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BD034E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Immobilitzat material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34C272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5.161.703,31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1453AC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5.161.703,31</w:t>
            </w:r>
          </w:p>
        </w:tc>
      </w:tr>
      <w:tr w:rsidR="003D246B" w14:paraId="3BF64704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D80D66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Terrenys i construccions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86D78C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5.161.703,31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07F95D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5.161.703,31</w:t>
            </w:r>
          </w:p>
        </w:tc>
      </w:tr>
      <w:tr w:rsidR="003D246B" w14:paraId="31F0E886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0F434F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62C41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2C8B82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7F6A0A50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151E8C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Béns del patrimoni cultural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41875E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6.385.847,46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F32F4B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6.385.847,46</w:t>
            </w:r>
          </w:p>
        </w:tc>
      </w:tr>
      <w:tr w:rsidR="003D246B" w14:paraId="1CD7A423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1A9680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Béns mobles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0C74A7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E427CD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</w:tr>
      <w:tr w:rsidR="003D246B" w14:paraId="18866108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C0A331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Arxius, biblioteques i museus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41456C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6.335.000,00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12A08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6.335.000,00</w:t>
            </w:r>
          </w:p>
        </w:tc>
      </w:tr>
      <w:tr w:rsidR="003D246B" w14:paraId="2059978A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452780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095129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7B6EE2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2F4BBC20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174EE5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ACTIU CORRENT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13A5ECA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736.212,44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57533CAE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800.378,39</w:t>
            </w:r>
          </w:p>
        </w:tc>
      </w:tr>
      <w:tr w:rsidR="003D246B" w14:paraId="247D1B71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7CD419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E16699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29D92C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6038AB0D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928934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Usuaris, patrocinadors i deutors de les activitats i altres comptes a cobrar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A670DA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17.937,42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441078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47.514,04</w:t>
            </w:r>
          </w:p>
        </w:tc>
      </w:tr>
      <w:tr w:rsidR="003D246B" w14:paraId="37A21FFF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06FB4B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Deutors per vendes i prestació de serveis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369D4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5FADF9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</w:tr>
      <w:tr w:rsidR="003D246B" w14:paraId="5BA76A79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B23AE6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Deutors d'empreses del grup i associades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A6B6A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477D87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30.000,00</w:t>
            </w:r>
          </w:p>
        </w:tc>
      </w:tr>
      <w:tr w:rsidR="003D246B" w14:paraId="003E1DA4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AC9A45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Altres crèdits amb les Administracions Públiques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71BA3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17.937,42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DC1C7F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17.514,04</w:t>
            </w:r>
          </w:p>
        </w:tc>
      </w:tr>
      <w:tr w:rsidR="003D246B" w14:paraId="62550916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03C676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18B50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AA5A3F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246B" w14:paraId="4356082D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4A87E7" w14:textId="77777777" w:rsidR="003D246B" w:rsidRDefault="003D246B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Efectiu i altres actius líquids equivalents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4C8CE0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718.275,02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C52CD7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752.864,35</w:t>
            </w:r>
          </w:p>
        </w:tc>
      </w:tr>
      <w:tr w:rsidR="003D246B" w14:paraId="221147DC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84788B" w14:textId="77777777" w:rsidR="003D246B" w:rsidRDefault="003D246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Tresoreria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11504D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718.275,02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4271B7" w14:textId="77777777" w:rsidR="003D246B" w:rsidRDefault="003D24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752.864,35</w:t>
            </w:r>
          </w:p>
        </w:tc>
      </w:tr>
      <w:tr w:rsidR="003D246B" w14:paraId="361E9B30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FE7640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B38FC" w14:textId="77777777" w:rsidR="003D246B" w:rsidRDefault="003D246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95FD2E" w14:textId="77777777" w:rsidR="003D246B" w:rsidRDefault="003D24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3D246B" w14:paraId="4F3A03ED" w14:textId="77777777" w:rsidTr="003D246B">
        <w:trPr>
          <w:trHeight w:val="420"/>
          <w:jc w:val="center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34533C" w14:textId="77777777" w:rsidR="003D246B" w:rsidRDefault="003D24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TOTAL ACTIU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2569F3A0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12.283.763,21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6CB3F7E5" w14:textId="77777777" w:rsidR="003D246B" w:rsidRDefault="003D24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12.347.929,16</w:t>
            </w:r>
          </w:p>
        </w:tc>
      </w:tr>
    </w:tbl>
    <w:p w14:paraId="5A95BC71" w14:textId="131DAD43" w:rsidR="008E624E" w:rsidRDefault="008E624E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E6EE6FC" w14:textId="4E778348" w:rsidR="00870843" w:rsidRDefault="00870843" w:rsidP="007637FF">
      <w:pPr>
        <w:spacing w:after="200" w:line="276" w:lineRule="auto"/>
        <w:rPr>
          <w:noProof/>
          <w:lang w:eastAsia="ca-ES"/>
        </w:rPr>
      </w:pP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0"/>
        <w:gridCol w:w="1940"/>
        <w:gridCol w:w="1680"/>
      </w:tblGrid>
      <w:tr w:rsidR="007637FF" w14:paraId="3D730AD4" w14:textId="77777777" w:rsidTr="007637FF">
        <w:trPr>
          <w:trHeight w:val="60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C2E8F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lastRenderedPageBreak/>
              <w:t>FUNDACIÓ BARCELONA CULTURA</w:t>
            </w:r>
          </w:p>
        </w:tc>
      </w:tr>
      <w:tr w:rsidR="007637FF" w14:paraId="2230847C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329A2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0CB52" w14:textId="77777777" w:rsidR="007637FF" w:rsidRDefault="007637F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4EDB8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44CA1807" w14:textId="77777777" w:rsidTr="007637FF">
        <w:trPr>
          <w:trHeight w:val="499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75E51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BALANÇOS ABREUJATS AL 31 DE DESEMBRE 2025 (previsió) I 2024 (en euros)</w:t>
            </w:r>
          </w:p>
        </w:tc>
      </w:tr>
      <w:tr w:rsidR="007637FF" w14:paraId="25CD43DE" w14:textId="77777777" w:rsidTr="007637FF">
        <w:trPr>
          <w:trHeight w:val="600"/>
        </w:trPr>
        <w:tc>
          <w:tcPr>
            <w:tcW w:w="5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8088CC7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PATRIMONI NET I PASSIU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D65AB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C020D83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7637FF" w14:paraId="7A6DFCB7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B15711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660298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7E2568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38AA8EC5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84F4EF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PATRIMONI NET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FB569C9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12.233.472,25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DA8329C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12.206.524,77</w:t>
            </w:r>
          </w:p>
        </w:tc>
      </w:tr>
      <w:tr w:rsidR="007637FF" w14:paraId="2967F5F8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33FE67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358F0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67A66A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0F29BBFF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53ED2F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Fons propis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EDF7D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12.182.624,79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0C030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12.155.677,31</w:t>
            </w:r>
          </w:p>
        </w:tc>
      </w:tr>
      <w:tr w:rsidR="007637FF" w14:paraId="3E713563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1DCED9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530ED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82C2A0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157F6553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9F8D3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Fons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dotacionals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6B72AC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1AF6EB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7637FF" w14:paraId="19EDC714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5ECD5C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Fons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dotacionals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922B4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B53CE4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30.000,00</w:t>
            </w:r>
          </w:p>
        </w:tc>
      </w:tr>
      <w:tr w:rsidR="007637FF" w14:paraId="1CE4C813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FB1259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FBB022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0CCFC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79F7B20B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DC435E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Fons especials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11250C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11.496.703,31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C7042A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11.496.703,31</w:t>
            </w:r>
          </w:p>
        </w:tc>
      </w:tr>
      <w:tr w:rsidR="007637FF" w14:paraId="672FEADF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765AB1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Fons especials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81F42C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11.496.703,31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80F47B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11.496.703,31</w:t>
            </w:r>
          </w:p>
        </w:tc>
      </w:tr>
      <w:tr w:rsidR="007637FF" w14:paraId="788BCFFA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526533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1167D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C8A5C2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1F59D526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B6951F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Excedents d’exercicis anteriors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837DEF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628.974,00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831217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606.921,44</w:t>
            </w:r>
          </w:p>
        </w:tc>
      </w:tr>
      <w:tr w:rsidR="007637FF" w14:paraId="104E845B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52CFA5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Romanent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4D9AB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628.974,00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4F17BD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606.921,44</w:t>
            </w:r>
          </w:p>
        </w:tc>
      </w:tr>
      <w:tr w:rsidR="007637FF" w14:paraId="229218B4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8509B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7910F8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8CB896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0E04486B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CA6C6F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Excedent de l’exercici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BD42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26.947,48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9F6C22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22.052,56</w:t>
            </w:r>
          </w:p>
        </w:tc>
      </w:tr>
      <w:tr w:rsidR="007637FF" w14:paraId="46DA2EDA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5AF235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AC415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111187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12B0567C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442D9F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Subvencions, donacions i llegats rebuts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971117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50.847,46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778183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50.847,46</w:t>
            </w:r>
          </w:p>
        </w:tc>
      </w:tr>
      <w:tr w:rsidR="007637FF" w14:paraId="3E4AE2E9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F28900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Altres subvencions, donacions i llegats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E7016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9EC07A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</w:tr>
      <w:tr w:rsidR="007637FF" w14:paraId="105DDADD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EFCF46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F86F8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19D06F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134E4E5E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20E06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PASSIU CORRENT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30106CD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50.290,96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96E9B73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141.404,39</w:t>
            </w:r>
          </w:p>
        </w:tc>
      </w:tr>
      <w:tr w:rsidR="007637FF" w14:paraId="6FF62919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21197B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DB5968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019676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0543CC23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938437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Deutes a curt termini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440D9F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9.422,26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CB45DC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9.422,26</w:t>
            </w:r>
          </w:p>
        </w:tc>
      </w:tr>
      <w:tr w:rsidR="007637FF" w14:paraId="6D1ED39C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FB0B92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Altres deutes a curt termini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7A3FF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9.422,26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5B642D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9.422,26</w:t>
            </w:r>
          </w:p>
        </w:tc>
      </w:tr>
      <w:tr w:rsidR="007637FF" w14:paraId="241354A3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A8E987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3C293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1C55C5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5198E13B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A2C48A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Creditors per activitats i altres comptes a pagar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5A9502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15.868,70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135462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106.971,77</w:t>
            </w:r>
          </w:p>
        </w:tc>
      </w:tr>
      <w:tr w:rsidR="007637FF" w14:paraId="0AA34332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058606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Proveïdors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F37C1A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9.152,54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ECEF40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100.265,54</w:t>
            </w:r>
          </w:p>
        </w:tc>
      </w:tr>
      <w:tr w:rsidR="007637FF" w14:paraId="66DA0E0C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557995" w14:textId="77777777" w:rsidR="007637FF" w:rsidRDefault="007637FF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Creditors varis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6073E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6.716,16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F0C59E" w14:textId="77777777" w:rsidR="007637FF" w:rsidRDefault="007637FF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6.706,23</w:t>
            </w:r>
          </w:p>
        </w:tc>
      </w:tr>
      <w:tr w:rsidR="007637FF" w14:paraId="30D03951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59BF6B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115CA3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BC137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00826649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33A634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Administracions Públiques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7BE132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7B1FDF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10,36</w:t>
            </w:r>
          </w:p>
        </w:tc>
      </w:tr>
      <w:tr w:rsidR="007637FF" w14:paraId="500E447A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9AC1CF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9DA06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FDE385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46FAB18D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65CA05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Periodificacions a curt termini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040985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EDF5C7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7637FF" w14:paraId="5AF5F83A" w14:textId="77777777" w:rsidTr="007637FF">
        <w:trPr>
          <w:trHeight w:val="22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7A5B65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0FE1E" w14:textId="77777777" w:rsidR="007637FF" w:rsidRDefault="007637F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F1A93B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00014CE2" w14:textId="77777777" w:rsidTr="007637FF">
        <w:trPr>
          <w:trHeight w:val="42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40A0F7" w14:textId="77777777" w:rsidR="007637FF" w:rsidRDefault="007637F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TOTAL PATRIMONI NET I PASSIU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2F6BD9AE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12.283.763,21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578AB9A8" w14:textId="77777777" w:rsidR="007637FF" w:rsidRDefault="007637FF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12.347.929,16</w:t>
            </w:r>
          </w:p>
        </w:tc>
      </w:tr>
    </w:tbl>
    <w:p w14:paraId="09151F7C" w14:textId="77777777" w:rsidR="007637FF" w:rsidRDefault="007637FF" w:rsidP="00FD6FE9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FA02EC2" w14:textId="77777777" w:rsidR="00497A0B" w:rsidRDefault="00497A0B" w:rsidP="00AA160D">
      <w:pPr>
        <w:spacing w:after="200" w:line="276" w:lineRule="auto"/>
        <w:ind w:right="-283"/>
        <w:jc w:val="center"/>
        <w:rPr>
          <w:rFonts w:ascii="Arial" w:hAnsi="Arial" w:cs="Arial"/>
          <w:sz w:val="22"/>
          <w:szCs w:val="22"/>
        </w:rPr>
      </w:pPr>
    </w:p>
    <w:p w14:paraId="1F2EA0D2" w14:textId="77777777" w:rsidR="00E342FD" w:rsidRDefault="00E342FD" w:rsidP="007B0E4C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ADC51AF" w14:textId="77777777" w:rsidR="00E342FD" w:rsidRDefault="00E342FD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13685A8" w14:textId="77777777" w:rsidR="00870843" w:rsidRDefault="00870843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3B26B21" w14:textId="77777777" w:rsidR="00267818" w:rsidRDefault="00267818" w:rsidP="007637F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EC49672" w14:textId="77777777" w:rsidR="00497A0B" w:rsidRDefault="00497A0B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6CC7BDD" w14:textId="77777777" w:rsidR="00C52E95" w:rsidRDefault="00C52E95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DB8AF11" w14:textId="77777777" w:rsidR="00894E94" w:rsidRDefault="00894E9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1120FA97" w14:textId="77777777" w:rsidR="000205D4" w:rsidRDefault="000205D4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393A3D69" w14:textId="77777777" w:rsidR="007B0E4C" w:rsidRDefault="007B0E4C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0A52B4B9" w14:textId="77777777" w:rsidR="007B0E4C" w:rsidRDefault="007B0E4C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21EBCCF0" w14:textId="77777777" w:rsidR="007B0E4C" w:rsidRDefault="007B0E4C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6E21E1B6" w14:textId="77777777" w:rsidR="007B0E4C" w:rsidRDefault="007B0E4C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24DCEABF" w14:textId="77777777" w:rsidR="007B0E4C" w:rsidRDefault="007B0E4C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4A265CF4" w14:textId="77777777" w:rsidR="007B0E4C" w:rsidRDefault="007B0E4C" w:rsidP="007B0E4C">
      <w:pPr>
        <w:spacing w:after="200" w:line="276" w:lineRule="auto"/>
        <w:ind w:right="-144"/>
        <w:rPr>
          <w:rFonts w:ascii="Arial" w:hAnsi="Arial" w:cs="Arial"/>
          <w:sz w:val="22"/>
          <w:szCs w:val="22"/>
        </w:rPr>
      </w:pPr>
    </w:p>
    <w:p w14:paraId="3CC8E5FE" w14:textId="5FFDC8CB" w:rsidR="000205D4" w:rsidRDefault="000205D4" w:rsidP="00FD6FE9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Estat d’ingressos i de despeses previst per a l’exercici 202</w:t>
      </w:r>
      <w:r w:rsidR="007637FF">
        <w:rPr>
          <w:rFonts w:ascii="Arial" w:hAnsi="Arial" w:cs="Arial"/>
          <w:color w:val="auto"/>
          <w:sz w:val="32"/>
          <w:szCs w:val="32"/>
        </w:rPr>
        <w:t>6</w:t>
      </w:r>
    </w:p>
    <w:p w14:paraId="022C0397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6D9261D0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3BF5DFB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7F85227F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1896ACF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7FD346A9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674ABBD3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914865D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63736929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D963FC1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6818C499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193B1A98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0B77FA1C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14C2C331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5229"/>
        <w:gridCol w:w="831"/>
        <w:gridCol w:w="1616"/>
        <w:gridCol w:w="1346"/>
        <w:gridCol w:w="1346"/>
      </w:tblGrid>
      <w:tr w:rsidR="007637FF" w14:paraId="6E160DB3" w14:textId="77777777" w:rsidTr="007637FF">
        <w:trPr>
          <w:trHeight w:val="795"/>
          <w:jc w:val="center"/>
        </w:trPr>
        <w:tc>
          <w:tcPr>
            <w:tcW w:w="109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75B8BFB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FUNDACIÓ BARCELONA CULTURA</w:t>
            </w:r>
          </w:p>
        </w:tc>
      </w:tr>
      <w:tr w:rsidR="007637FF" w14:paraId="59CF2F69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86CFC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9DB2F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A7988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53FFB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45767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9CE60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3F1CC5AF" w14:textId="77777777" w:rsidTr="007637FF">
        <w:trPr>
          <w:trHeight w:val="600"/>
          <w:jc w:val="center"/>
        </w:trPr>
        <w:tc>
          <w:tcPr>
            <w:tcW w:w="10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5AB69E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ESTAT D'INGRESSOS PREVISTOS PER A L'EXERCICI 2026  I 2025</w:t>
            </w:r>
          </w:p>
        </w:tc>
      </w:tr>
      <w:tr w:rsidR="007637FF" w14:paraId="374B0A1D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D88ED5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EC6D6E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2EC598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5F0746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A6E4F8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AABE15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37FF" w14:paraId="19D9F360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54CFD63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Econòmic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445B1550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Text Econòmic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754D8383" w14:textId="59A43F58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Orgànic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DDD"/>
            <w:noWrap/>
            <w:vAlign w:val="bottom"/>
            <w:hideMark/>
          </w:tcPr>
          <w:p w14:paraId="39BB368C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Partida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5E28595F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4CF97A69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2025</w:t>
            </w:r>
          </w:p>
        </w:tc>
      </w:tr>
      <w:tr w:rsidR="007637FF" w14:paraId="22BB6535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6C8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36002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9D1C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PATROCINI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425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F78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I/36002/33011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8314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877C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500.000,00</w:t>
            </w:r>
          </w:p>
        </w:tc>
      </w:tr>
      <w:tr w:rsidR="007637FF" w14:paraId="6D87CB3F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6ED6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36001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AD47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PATROCINI INTERCANVI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7D13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F42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I/36001/33011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5DFB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34C8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431EBFBA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33F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37106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2D60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ALTRES INGRESSOS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AC1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D8A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I/37106/33011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A1AF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500.000,00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8074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500.000,00</w:t>
            </w:r>
          </w:p>
        </w:tc>
      </w:tr>
      <w:tr w:rsidR="007637FF" w14:paraId="32C11057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176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39901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227B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CONVENIS DE COL-LABORACIÓ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A9A5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D41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I/39901/33011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61B3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6FB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301E4412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9553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44000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621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D'ENTITATS PÚBLIQUES DE L'AJUNTAMENT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5355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DB50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I/44000/33011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7A95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7CE5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30.000,00</w:t>
            </w:r>
          </w:p>
        </w:tc>
      </w:tr>
      <w:tr w:rsidR="007637FF" w14:paraId="6B2271D6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2927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47001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830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DONACIONS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7BE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26A3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I/47001/33011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1880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C5CF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423D4D3F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FE3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52000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D44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INGRESSOS FINANCERS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8066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D180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I/52000/33011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F809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579F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5DC329AD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94599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E502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INGRESSOS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1632E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6B374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3784" w14:textId="77777777" w:rsidR="007637FF" w:rsidRDefault="007637F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9CA5" w14:textId="77777777" w:rsidR="007637FF" w:rsidRDefault="007637F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1.030.000,00</w:t>
            </w:r>
          </w:p>
        </w:tc>
      </w:tr>
      <w:tr w:rsidR="007637FF" w14:paraId="3892DC7F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B37B" w14:textId="77777777" w:rsidR="007637FF" w:rsidRDefault="007637F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432A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4EB0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AB20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C7C3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5537" w14:textId="77777777" w:rsidR="007637FF" w:rsidRDefault="007637FF">
            <w:pPr>
              <w:rPr>
                <w:sz w:val="20"/>
                <w:szCs w:val="20"/>
              </w:rPr>
            </w:pPr>
          </w:p>
        </w:tc>
      </w:tr>
      <w:tr w:rsidR="007637FF" w14:paraId="2DA29916" w14:textId="77777777" w:rsidTr="007637FF">
        <w:trPr>
          <w:trHeight w:val="615"/>
          <w:jc w:val="center"/>
        </w:trPr>
        <w:tc>
          <w:tcPr>
            <w:tcW w:w="10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21D2D8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ESTAT DE DESPESES PREVISTES PER A L'EXERCICI 2026 I 2025</w:t>
            </w:r>
          </w:p>
        </w:tc>
      </w:tr>
      <w:tr w:rsidR="007637FF" w14:paraId="2AAD6609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BB21" w14:textId="77777777" w:rsidR="007637FF" w:rsidRDefault="007637F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CE88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26AD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8A93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E712" w14:textId="77777777" w:rsidR="007637FF" w:rsidRDefault="007637FF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63D3" w14:textId="77777777" w:rsidR="007637FF" w:rsidRDefault="007637FF">
            <w:pPr>
              <w:rPr>
                <w:sz w:val="20"/>
                <w:szCs w:val="20"/>
              </w:rPr>
            </w:pPr>
          </w:p>
        </w:tc>
      </w:tr>
      <w:tr w:rsidR="007637FF" w14:paraId="06DC5D3E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59301ECA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Econòmic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261A1C1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Text Econòmic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52B3E5EF" w14:textId="79B9CCFA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Orgànic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5A88E447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Partida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50AA6B8E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34ED18C7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2025</w:t>
            </w:r>
          </w:p>
        </w:tc>
      </w:tr>
      <w:tr w:rsidR="007637FF" w14:paraId="7648BD44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C9EC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20200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37A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ARRENDAMENT EDIFICIS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ED9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568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D/20200/33011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9517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615B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4905B020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D868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20301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ED9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ARRENDAMENT MATERIAL TÈCNIC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8617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E31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D/20301/33011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C9AB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81CF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29F4F831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91D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20500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CE1C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ARRENDAMENT MOBILIARI I EQUIPAMENT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E7B5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D4E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D/20500/33011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A7EB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CD12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066BAAE7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42AC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22504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9647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TAXES RECOLLIDA RESIDUS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FAC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A8F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D/22504/33011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2C46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4388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4DCE67E2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020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22605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F95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PUBLICITAT, PROPAGANDA I RELACIONS PÚBLIQUES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61B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9545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D/22605/33011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6D55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13B3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3E5CE70C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293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22699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BE5C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ALTRES SERVEIS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A7E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9A58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D/22699/33011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EFD1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1A90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6CDCBE87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7DF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22773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646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HONORARIS NOTARIS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E70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657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D/22773/33011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2881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AA43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</w:tr>
      <w:tr w:rsidR="007637FF" w14:paraId="6E3FA376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3A5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22760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6B8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ASSESSORS FISCALS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1C58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30F0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D/22760/33011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4047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BC82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</w:tr>
      <w:tr w:rsidR="007637FF" w14:paraId="3C1EC627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D6B6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22743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CCE0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HONORARIS AUDITORS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6F2A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642B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D/22743/33011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8B29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4696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2.500,00</w:t>
            </w:r>
          </w:p>
        </w:tc>
      </w:tr>
      <w:tr w:rsidR="007637FF" w14:paraId="020DCC76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A1F6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22507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FB0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ALTRES TRIBUTS D'ALTRES ADMINISTRACIONS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699A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10E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D/22507/33011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9DED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5A6D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300,00</w:t>
            </w:r>
          </w:p>
        </w:tc>
      </w:tr>
      <w:tr w:rsidR="007637FF" w14:paraId="52AEAF9C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7B9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22799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6C6D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SERVEIS PROFESSIONALS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810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543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D/22799/33011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9832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20.500,00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7913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20.500,00</w:t>
            </w:r>
          </w:p>
        </w:tc>
      </w:tr>
      <w:tr w:rsidR="007637FF" w14:paraId="1E757EEC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C81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22199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F593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ALTRE MATERIAL DE CONSUM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D799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088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D/22199/33011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3915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9A05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7637FF" w14:paraId="0344A543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D3B1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35993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EA5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COMISSIONS BANCÀRIES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F36A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E61F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D/35993/33011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3170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9165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200,00</w:t>
            </w:r>
          </w:p>
        </w:tc>
      </w:tr>
      <w:tr w:rsidR="007637FF" w14:paraId="1DE8AA99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BF72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48909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17CE4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CONVOCATÒRIA DE SUBVENCIONS - PROMOCIÓ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106C6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D2DE" w14:textId="77777777" w:rsidR="007637FF" w:rsidRDefault="007637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D/48909/33011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4892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CC2D" w14:textId="77777777" w:rsidR="007637FF" w:rsidRDefault="007637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1.000.000,00</w:t>
            </w:r>
          </w:p>
        </w:tc>
      </w:tr>
      <w:tr w:rsidR="007637FF" w14:paraId="52525D61" w14:textId="77777777" w:rsidTr="007637FF">
        <w:trPr>
          <w:trHeight w:val="30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577AB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848E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DESPESES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62696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21A7" w14:textId="77777777" w:rsidR="007637FF" w:rsidRDefault="007637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09B6" w14:textId="77777777" w:rsidR="007637FF" w:rsidRDefault="007637F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89AC" w14:textId="77777777" w:rsidR="007637FF" w:rsidRDefault="007637F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1.030.000,00</w:t>
            </w:r>
          </w:p>
        </w:tc>
      </w:tr>
    </w:tbl>
    <w:p w14:paraId="5EB4D8B2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AEA0CBD" w14:textId="77777777" w:rsidR="00534DB5" w:rsidRDefault="00534DB5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FF793F6" w14:textId="77777777" w:rsidR="00534DB5" w:rsidRDefault="00534DB5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7F43463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E8A82A6" w14:textId="77777777" w:rsidR="00E92711" w:rsidRDefault="00E92711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12C2D520" w14:textId="77777777" w:rsidR="00E92711" w:rsidRDefault="00E92711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776F6A7" w14:textId="77777777" w:rsidR="00DC088A" w:rsidRDefault="00DC088A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09E15032" w14:textId="77777777" w:rsidR="00DC088A" w:rsidRDefault="00DC088A" w:rsidP="00AA160D">
      <w:pPr>
        <w:spacing w:after="200" w:line="276" w:lineRule="auto"/>
        <w:ind w:right="-425"/>
        <w:jc w:val="center"/>
        <w:rPr>
          <w:rFonts w:ascii="Arial" w:hAnsi="Arial" w:cs="Arial"/>
          <w:sz w:val="22"/>
          <w:szCs w:val="22"/>
        </w:rPr>
      </w:pPr>
    </w:p>
    <w:p w14:paraId="23CE3461" w14:textId="77777777" w:rsidR="00E92711" w:rsidRDefault="00E92711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38BC3924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7E8F3FE" w14:textId="77777777" w:rsidR="000205D4" w:rsidRDefault="000205D4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EE52FEA" w14:textId="77777777" w:rsidR="00B17392" w:rsidRDefault="00B17392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96BF947" w14:textId="77777777" w:rsidR="00B17392" w:rsidRDefault="00B17392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E46E765" w14:textId="77777777" w:rsidR="00B17392" w:rsidRDefault="00B17392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7127D5EB" w14:textId="77777777" w:rsidR="00B17392" w:rsidRDefault="00B17392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20469C79" w14:textId="77777777" w:rsidR="00B17392" w:rsidRDefault="00B17392" w:rsidP="00497A0B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DB0C2E7" w14:textId="77777777" w:rsidR="000205D4" w:rsidRDefault="000205D4" w:rsidP="007F34BE">
      <w:pPr>
        <w:pStyle w:val="Ttol2"/>
        <w:rPr>
          <w:rFonts w:ascii="Arial" w:hAnsi="Arial" w:cs="Arial"/>
          <w:color w:val="auto"/>
          <w:sz w:val="32"/>
          <w:szCs w:val="32"/>
        </w:rPr>
      </w:pPr>
    </w:p>
    <w:p w14:paraId="61321319" w14:textId="77777777" w:rsidR="000205D4" w:rsidRDefault="000205D4" w:rsidP="00B17392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</w:p>
    <w:p w14:paraId="59139799" w14:textId="77777777" w:rsidR="000205D4" w:rsidRDefault="000205D4" w:rsidP="00B17392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</w:p>
    <w:p w14:paraId="5FABA98A" w14:textId="77777777" w:rsidR="00FD6FE9" w:rsidRDefault="00FD6FE9" w:rsidP="00FD6FE9">
      <w:pPr>
        <w:pStyle w:val="Ttol2"/>
        <w:rPr>
          <w:rFonts w:ascii="Arial" w:hAnsi="Arial" w:cs="Arial"/>
          <w:color w:val="auto"/>
          <w:sz w:val="32"/>
          <w:szCs w:val="32"/>
        </w:rPr>
      </w:pPr>
    </w:p>
    <w:p w14:paraId="5793EE9F" w14:textId="7EB926BE" w:rsidR="00B17392" w:rsidRDefault="00B17392" w:rsidP="00FD6FE9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  <w:r w:rsidRPr="00B17392">
        <w:rPr>
          <w:rFonts w:ascii="Arial" w:hAnsi="Arial" w:cs="Arial"/>
          <w:color w:val="auto"/>
          <w:sz w:val="32"/>
          <w:szCs w:val="32"/>
        </w:rPr>
        <w:t>Previsió del compte de pèrdues i guanys i balanç a 31 de desembre de 20</w:t>
      </w:r>
      <w:r w:rsidR="00322A24">
        <w:rPr>
          <w:rFonts w:ascii="Arial" w:hAnsi="Arial" w:cs="Arial"/>
          <w:color w:val="auto"/>
          <w:sz w:val="32"/>
          <w:szCs w:val="32"/>
        </w:rPr>
        <w:t>2</w:t>
      </w:r>
      <w:r w:rsidR="007F34BE">
        <w:rPr>
          <w:rFonts w:ascii="Arial" w:hAnsi="Arial" w:cs="Arial"/>
          <w:color w:val="auto"/>
          <w:sz w:val="32"/>
          <w:szCs w:val="32"/>
        </w:rPr>
        <w:t>6</w:t>
      </w:r>
    </w:p>
    <w:p w14:paraId="61361B48" w14:textId="77777777" w:rsidR="00B17392" w:rsidRDefault="00B17392">
      <w:pPr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73C18AF8" w14:textId="77777777" w:rsidR="0057018A" w:rsidRDefault="0057018A">
      <w:pPr>
        <w:spacing w:after="200" w:line="276" w:lineRule="auto"/>
        <w:rPr>
          <w:rFonts w:ascii="Arial" w:eastAsiaTheme="majorEastAsia" w:hAnsi="Arial" w:cs="Arial"/>
          <w:b/>
          <w:bCs/>
          <w:sz w:val="32"/>
          <w:szCs w:val="32"/>
          <w:lang w:eastAsia="en-US"/>
        </w:rPr>
      </w:pPr>
    </w:p>
    <w:tbl>
      <w:tblPr>
        <w:tblW w:w="9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0"/>
        <w:gridCol w:w="1720"/>
        <w:gridCol w:w="2040"/>
      </w:tblGrid>
      <w:tr w:rsidR="007F34BE" w14:paraId="7CE9BDB3" w14:textId="77777777" w:rsidTr="007F34BE">
        <w:trPr>
          <w:trHeight w:val="600"/>
          <w:jc w:val="center"/>
        </w:trPr>
        <w:tc>
          <w:tcPr>
            <w:tcW w:w="9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84637F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FUNDACIÓ BARCELONA CULTURA</w:t>
            </w:r>
          </w:p>
        </w:tc>
      </w:tr>
      <w:tr w:rsidR="007F34BE" w14:paraId="2DA5A245" w14:textId="77777777" w:rsidTr="007F34BE">
        <w:trPr>
          <w:trHeight w:val="255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F6F91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7EB1D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37E6B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5C96CF2C" w14:textId="77777777" w:rsidTr="007F34BE">
        <w:trPr>
          <w:trHeight w:val="735"/>
          <w:jc w:val="center"/>
        </w:trPr>
        <w:tc>
          <w:tcPr>
            <w:tcW w:w="9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4EEAE9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PREVISIÓ DEL COMPTES DE RESULTATS ABREUJATS CORRESPONENT ALS EXERCICIS ANUALS ACABATS EL 31 DE DESEMBRE 2026 i 2025 (en euros)</w:t>
            </w:r>
          </w:p>
        </w:tc>
      </w:tr>
      <w:tr w:rsidR="007F34BE" w14:paraId="0FA9D4BD" w14:textId="77777777" w:rsidTr="007F34BE">
        <w:trPr>
          <w:trHeight w:val="255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6C5B8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BEB8D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8538B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7F34BE" w14:paraId="6F8A647E" w14:textId="77777777" w:rsidTr="007F34BE">
        <w:trPr>
          <w:trHeight w:val="255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316F4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43C45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914A9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7F34BE" w14:paraId="629ADFF3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B3E3275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C226F93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01F0F4E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7F34BE" w14:paraId="57D201AD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E6B74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Ingressos per les activitats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BD3CD8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1.030.000,00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D42667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</w:tr>
      <w:tr w:rsidR="007F34BE" w14:paraId="1E828F50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735E5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Ingressos de promocions, patrocinadors i col·laboracions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B692E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F057E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0,00</w:t>
            </w:r>
          </w:p>
        </w:tc>
      </w:tr>
      <w:tr w:rsidR="007F34BE" w14:paraId="183A8F29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0B00E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Donacions i altres ingressos per a activitats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EC136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530.000,00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6E9F8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35.000,00</w:t>
            </w:r>
          </w:p>
        </w:tc>
      </w:tr>
      <w:tr w:rsidR="007F34BE" w14:paraId="176EFBE3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92D6FD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E5924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E7A85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7F34BE" w14:paraId="18BAE048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C1F674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Ajusts concedits i altres despeses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88275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-1.000.000,00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16C77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66495141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AF5D5" w14:textId="77777777" w:rsidR="007F34BE" w:rsidRDefault="007F34BE">
            <w:pPr>
              <w:ind w:firstLineChars="300" w:firstLine="600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Ajuts concedits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5D7C0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-1.000.000,00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2C5C2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0,00</w:t>
            </w:r>
          </w:p>
        </w:tc>
      </w:tr>
      <w:tr w:rsidR="007F34BE" w14:paraId="64F087DB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F2A25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086C3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EBEF5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34BE" w14:paraId="2ECAFB1D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8C801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Altres despeses d’explotació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3DBA56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-30.000,00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224558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-8.052,52</w:t>
            </w:r>
          </w:p>
        </w:tc>
      </w:tr>
      <w:tr w:rsidR="007F34BE" w14:paraId="418A9D9C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05F94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Serveis exteriors: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F74A6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-29.700,00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AF3DF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-7.746,23</w:t>
            </w:r>
          </w:p>
        </w:tc>
      </w:tr>
      <w:tr w:rsidR="007F34BE" w14:paraId="5BE253DE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D3D37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   Arrendaments i cànons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25520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88710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2FC3EC80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B84A70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   Serveis professionals independents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C558B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-9.000,00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AB1CD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-7.546,23</w:t>
            </w:r>
          </w:p>
        </w:tc>
      </w:tr>
      <w:tr w:rsidR="007F34BE" w14:paraId="0EAADFF5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4BAFA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   Serveis bancaris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5BF71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-200,00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E3BD9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-200,00</w:t>
            </w:r>
          </w:p>
        </w:tc>
      </w:tr>
      <w:tr w:rsidR="007F34BE" w14:paraId="4F53B227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E719A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   Publicitat, propaganda i relacions públiques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38F23E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2116F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52564444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67269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   Altres serveis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003BC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-20.500,00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BF1C1" w14:textId="77777777" w:rsidR="007F34BE" w:rsidRDefault="007F34BE">
            <w:pPr>
              <w:jc w:val="right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39894F94" w14:textId="77777777" w:rsidTr="007F34BE">
        <w:trPr>
          <w:trHeight w:val="405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5C5A9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 Tributs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CBFE1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-300,00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A12A0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-306,29</w:t>
            </w:r>
          </w:p>
        </w:tc>
      </w:tr>
      <w:tr w:rsidR="007F34BE" w14:paraId="4806DF81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EB73B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843CD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9DE27E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7F34BE" w14:paraId="52E9EB95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928A3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Amortització immobilitzat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8C7B6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26A6F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5511F158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F8300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188F7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5037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34BE" w14:paraId="22A8B1E3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4B2FB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Subvencions, donacions i llegats traspassats al resultat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3243F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24F4A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56406879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D0970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FDB77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32C89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7F34BE" w14:paraId="532A3B61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4C896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RESULTAT D’EXPLOTACIÓ 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03281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E5D33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26.947,48</w:t>
            </w:r>
          </w:p>
        </w:tc>
      </w:tr>
      <w:tr w:rsidR="007F34BE" w14:paraId="4EC8C967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34C784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D6CD2D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9EFFF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7F34BE" w14:paraId="53FB8523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E35501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Ingressos financers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0C003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2F2DB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0,00</w:t>
            </w:r>
          </w:p>
        </w:tc>
      </w:tr>
      <w:tr w:rsidR="007F34BE" w14:paraId="3B3EC1FA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F77CA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365AF" w14:textId="77777777" w:rsidR="007F34BE" w:rsidRDefault="007F34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0DA98" w14:textId="77777777" w:rsidR="007F34BE" w:rsidRDefault="007F34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7F34BE" w14:paraId="2FACB6AF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4559B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RESULTAT FINANCER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50794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0A4BD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F34BE" w14:paraId="7982C1DC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E9311E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E01B4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3F38A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34BE" w14:paraId="6799AC33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3FC66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RESULTAT ABANS D’IMPOSTOS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6A90D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022F3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26.947,48</w:t>
            </w:r>
          </w:p>
        </w:tc>
      </w:tr>
      <w:tr w:rsidR="007F34BE" w14:paraId="043AA091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01E43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59BE0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9A84F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34BE" w14:paraId="31B74749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E8130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B1EF637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DD86569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34BE" w14:paraId="0C8803E9" w14:textId="77777777" w:rsidTr="007F34BE">
        <w:trPr>
          <w:trHeight w:val="300"/>
          <w:jc w:val="center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682B3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RESULTAT DE L’EXERCICI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4940FC4C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5D1BBF55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26.947,48</w:t>
            </w:r>
          </w:p>
        </w:tc>
      </w:tr>
    </w:tbl>
    <w:p w14:paraId="460C0C75" w14:textId="77777777" w:rsidR="00534DB5" w:rsidRDefault="00534DB5">
      <w:pPr>
        <w:spacing w:after="200" w:line="276" w:lineRule="auto"/>
        <w:rPr>
          <w:rFonts w:ascii="Arial" w:eastAsiaTheme="majorEastAsia" w:hAnsi="Arial" w:cs="Arial"/>
          <w:b/>
          <w:bCs/>
          <w:sz w:val="32"/>
          <w:szCs w:val="32"/>
          <w:lang w:eastAsia="en-US"/>
        </w:rPr>
      </w:pPr>
    </w:p>
    <w:p w14:paraId="5746CED3" w14:textId="77777777" w:rsidR="00B22CD5" w:rsidRDefault="00B22CD5" w:rsidP="00322A24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14:paraId="52796B30" w14:textId="77777777" w:rsidR="003F650C" w:rsidRPr="00322A24" w:rsidRDefault="003F650C" w:rsidP="00760C88">
      <w:pPr>
        <w:spacing w:after="200" w:line="276" w:lineRule="auto"/>
        <w:rPr>
          <w:rFonts w:ascii="Arial" w:hAnsi="Arial" w:cs="Arial"/>
          <w:sz w:val="22"/>
          <w:szCs w:val="22"/>
        </w:rPr>
      </w:pPr>
    </w:p>
    <w:tbl>
      <w:tblPr>
        <w:tblW w:w="9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0"/>
        <w:gridCol w:w="1940"/>
        <w:gridCol w:w="1680"/>
      </w:tblGrid>
      <w:tr w:rsidR="007F34BE" w14:paraId="7C7136F6" w14:textId="77777777" w:rsidTr="007F34BE">
        <w:trPr>
          <w:trHeight w:val="600"/>
          <w:jc w:val="center"/>
        </w:trPr>
        <w:tc>
          <w:tcPr>
            <w:tcW w:w="9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763EC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FUNDACIÓ BARCELONA CULTURA</w:t>
            </w:r>
          </w:p>
        </w:tc>
      </w:tr>
      <w:tr w:rsidR="007F34BE" w14:paraId="694386F7" w14:textId="77777777" w:rsidTr="007F34BE">
        <w:trPr>
          <w:trHeight w:val="225"/>
          <w:jc w:val="center"/>
        </w:trPr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68098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8FF931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7D2EC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61F9986B" w14:textId="77777777" w:rsidTr="007F34BE">
        <w:trPr>
          <w:trHeight w:val="499"/>
          <w:jc w:val="center"/>
        </w:trPr>
        <w:tc>
          <w:tcPr>
            <w:tcW w:w="9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DACC3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PREVISIÓ DELS BALANÇOS ABREUJATS AL 31 DE DESEMBRE 2026 I 2025 (en euros)</w:t>
            </w:r>
          </w:p>
        </w:tc>
      </w:tr>
      <w:tr w:rsidR="007F34BE" w14:paraId="5FE72AB8" w14:textId="77777777" w:rsidTr="007F34BE">
        <w:trPr>
          <w:trHeight w:val="499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92A12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FCF47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FAF5C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280B0193" w14:textId="77777777" w:rsidTr="007F34BE">
        <w:trPr>
          <w:trHeight w:val="450"/>
          <w:jc w:val="center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25ECDEE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ACTIU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A0EEB51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96663AF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</w:tr>
      <w:tr w:rsidR="007F34BE" w14:paraId="26A52FD9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82571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12D00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847BE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7F34BE" w14:paraId="350F83AF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2959EC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ACTIU NO CORRENT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F6B6E28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11.547.550,77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76DA995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11.547.550,77</w:t>
            </w:r>
          </w:p>
        </w:tc>
      </w:tr>
      <w:tr w:rsidR="007F34BE" w14:paraId="090173E5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BA026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7BA7E6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E4F115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270853A3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C7D3B0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Immobilitzat intangible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10C2F4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13F76F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4BE" w14:paraId="0D3AEE35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7D66CA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Aplicacions informàtiques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DD0D4E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42C78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</w:tr>
      <w:tr w:rsidR="007F34BE" w14:paraId="56400103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D12F56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11C60A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E758A1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2CB0B579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73B8D6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Immobilitzat material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6E766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5.161.703,31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67FF0F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5.161.703,31</w:t>
            </w:r>
          </w:p>
        </w:tc>
      </w:tr>
      <w:tr w:rsidR="007F34BE" w14:paraId="7B733E88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2EA054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Terrenys i construccions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C960ED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5.161.703,31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983698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5.161.703,31</w:t>
            </w:r>
          </w:p>
        </w:tc>
      </w:tr>
      <w:tr w:rsidR="007F34BE" w14:paraId="590A5940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32D508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33D7E" w14:textId="77777777" w:rsidR="007F34BE" w:rsidRDefault="007F34B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FADD58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5C7E6C4C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0ED5BF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Béns del patrimoni cultural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AF700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6.385.847,46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528328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6.385.847,46</w:t>
            </w:r>
          </w:p>
        </w:tc>
      </w:tr>
      <w:tr w:rsidR="007F34BE" w14:paraId="75F9F620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0D867C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Béns mobles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ED2BF3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BBC825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</w:tr>
      <w:tr w:rsidR="007F34BE" w14:paraId="07F3935B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641CCB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Arxius, biblioteques i museus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B15244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6.335.000,00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ADCF39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6.335.000,00</w:t>
            </w:r>
          </w:p>
        </w:tc>
      </w:tr>
      <w:tr w:rsidR="007F34BE" w14:paraId="047D3F56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68AEC6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05BBEC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0705FC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4574EECB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F36EDA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ACTIU CORRENT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CF08C45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1.731.445,51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341FC32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736.212,44</w:t>
            </w:r>
          </w:p>
        </w:tc>
      </w:tr>
      <w:tr w:rsidR="007F34BE" w14:paraId="32E44FDA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F9B97D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4DBEC9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9CFEB5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1F9EB09B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D83FD3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Usuaris, patrocinadors i deutors de les activitats i altres comptes a cobrar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15757E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1.017.937,42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4935B7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17.937,42</w:t>
            </w:r>
          </w:p>
        </w:tc>
      </w:tr>
      <w:tr w:rsidR="007F34BE" w14:paraId="473AF35D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E9FF5B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Deutors per vendes i prestació de serveis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F5FFC1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6163B6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</w:tr>
      <w:tr w:rsidR="007F34BE" w14:paraId="127F0373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97241B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Deutors d'empreses del grup i associades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50FA2C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9A4613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</w:tr>
      <w:tr w:rsidR="007F34BE" w14:paraId="07618A9E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B3FD43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Altres crèdits amb les Administracions Públiques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07CCCD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17.937,42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48D007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17.937,42</w:t>
            </w:r>
          </w:p>
        </w:tc>
      </w:tr>
      <w:tr w:rsidR="007F34BE" w14:paraId="086A8857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F7C5B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884D" w14:textId="77777777" w:rsidR="007F34BE" w:rsidRDefault="007F34BE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D3B243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F34BE" w14:paraId="0648256C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FD1678" w14:textId="77777777" w:rsidR="007F34BE" w:rsidRDefault="007F34BE">
            <w:pPr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Efectiu i altres actius líquids equivalents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53E184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713.508,09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FF82C3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718.275,02</w:t>
            </w:r>
          </w:p>
        </w:tc>
      </w:tr>
      <w:tr w:rsidR="007F34BE" w14:paraId="03BC1567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D044A7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Tresoreria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E678CA" w14:textId="77777777" w:rsidR="007F34BE" w:rsidRDefault="007F34BE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713.508,09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B480C1" w14:textId="77777777" w:rsidR="007F34BE" w:rsidRDefault="007F34BE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718.275,02</w:t>
            </w:r>
          </w:p>
        </w:tc>
      </w:tr>
      <w:tr w:rsidR="007F34BE" w14:paraId="3E8D6FCB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8DC71D" w14:textId="77777777" w:rsidR="007F34BE" w:rsidRDefault="007F34BE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1C944E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7235F9" w14:textId="77777777" w:rsidR="007F34BE" w:rsidRDefault="007F34B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  <w:tr w:rsidR="007F34BE" w14:paraId="5526F5E2" w14:textId="77777777" w:rsidTr="007F34BE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068C85" w14:textId="77777777" w:rsidR="007F34BE" w:rsidRDefault="007F34BE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TOTAL ACTIU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3D49B8FC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13.278.996,28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504A8040" w14:textId="77777777" w:rsidR="007F34BE" w:rsidRDefault="007F34BE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12.283.763,21</w:t>
            </w:r>
          </w:p>
        </w:tc>
      </w:tr>
    </w:tbl>
    <w:p w14:paraId="1711F7EB" w14:textId="77777777" w:rsidR="00D051FC" w:rsidRPr="00D051FC" w:rsidRDefault="00D051FC" w:rsidP="00D051FC">
      <w:pPr>
        <w:pStyle w:val="Ttol2"/>
        <w:ind w:left="-284" w:right="-14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noProof/>
          <w:lang w:eastAsia="ca-ES"/>
        </w:rPr>
        <w:lastRenderedPageBreak/>
        <w:t xml:space="preserve"> </w:t>
      </w:r>
    </w:p>
    <w:tbl>
      <w:tblPr>
        <w:tblW w:w="9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0"/>
        <w:gridCol w:w="1940"/>
        <w:gridCol w:w="1680"/>
      </w:tblGrid>
      <w:tr w:rsidR="006F2A6B" w14:paraId="168460C6" w14:textId="77777777" w:rsidTr="006F2A6B">
        <w:trPr>
          <w:trHeight w:val="600"/>
          <w:jc w:val="center"/>
        </w:trPr>
        <w:tc>
          <w:tcPr>
            <w:tcW w:w="9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9490E" w14:textId="77777777" w:rsidR="006F2A6B" w:rsidRDefault="006F2A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FUNDACIÓ BARCELONA CULTURA</w:t>
            </w:r>
          </w:p>
        </w:tc>
      </w:tr>
      <w:tr w:rsidR="006F2A6B" w14:paraId="13F8058B" w14:textId="77777777" w:rsidTr="006F2A6B">
        <w:trPr>
          <w:trHeight w:val="225"/>
          <w:jc w:val="center"/>
        </w:trPr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158BB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5ED1C" w14:textId="77777777" w:rsidR="006F2A6B" w:rsidRDefault="006F2A6B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61BDF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756113EB" w14:textId="77777777" w:rsidTr="006F2A6B">
        <w:trPr>
          <w:trHeight w:val="499"/>
          <w:jc w:val="center"/>
        </w:trPr>
        <w:tc>
          <w:tcPr>
            <w:tcW w:w="9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95C92" w14:textId="77777777" w:rsidR="006F2A6B" w:rsidRDefault="006F2A6B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PREVISIÓ DELS BALANÇOS ABREUJATS AL 31 DE DESEMBRE 2026 I 2025 (en euros)</w:t>
            </w:r>
          </w:p>
        </w:tc>
      </w:tr>
      <w:tr w:rsidR="006F2A6B" w14:paraId="513B24EC" w14:textId="77777777" w:rsidTr="006F2A6B">
        <w:trPr>
          <w:trHeight w:val="225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61822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88A46" w14:textId="77777777" w:rsidR="006F2A6B" w:rsidRDefault="006F2A6B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D6290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6370B53B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504602D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PATRIMONI NET I PASSIU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A9482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9502A3A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</w:tr>
      <w:tr w:rsidR="006F2A6B" w14:paraId="6CF65F30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E5812E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99BF5F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4F4427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2E478BB7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AEA3AB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PATRIMONI NET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0C9B6A8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12.233.472,25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5711537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12.233.472,25</w:t>
            </w:r>
          </w:p>
        </w:tc>
      </w:tr>
      <w:tr w:rsidR="006F2A6B" w14:paraId="61443C02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C7AFD2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B0B194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994DA3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71A4CE33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BEF1BF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Fons propis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CD7C5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12.182.624,79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E80EC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12.182.624,79</w:t>
            </w:r>
          </w:p>
        </w:tc>
      </w:tr>
      <w:tr w:rsidR="006F2A6B" w14:paraId="03486426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876D04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6E214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FF46B5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41AA731A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36C9D8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Fons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dotacionals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EA1440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17AF3C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6F2A6B" w14:paraId="283C0378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0E9246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Fons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dotacionals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0E5B80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D90FB2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30.000,00</w:t>
            </w:r>
          </w:p>
        </w:tc>
      </w:tr>
      <w:tr w:rsidR="006F2A6B" w14:paraId="14DDCC18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5DEA5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F3B39E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3E8E1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5B63E9AA" w14:textId="77777777" w:rsidTr="006F2A6B">
        <w:trPr>
          <w:trHeight w:val="33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EB6FFD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Fons especials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340A63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11.496.703,31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7F4AC4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11.496.703,31</w:t>
            </w:r>
          </w:p>
        </w:tc>
      </w:tr>
      <w:tr w:rsidR="006F2A6B" w14:paraId="62C56782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07FBE5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Fons especials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575191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11.496.703,31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E0E532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11.496.703,31</w:t>
            </w:r>
          </w:p>
        </w:tc>
      </w:tr>
      <w:tr w:rsidR="006F2A6B" w14:paraId="63808192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20D6D8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DEF688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A4A5FC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6E02866C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F7B3C0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Excedents d’exercicis anteriors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B7B44D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655.921,48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8CC8DD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628.974,00</w:t>
            </w:r>
          </w:p>
        </w:tc>
      </w:tr>
      <w:tr w:rsidR="006F2A6B" w14:paraId="6FD935A2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EBC9A8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Romanent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41C80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655.921,48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E65F0D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628.974,00</w:t>
            </w:r>
          </w:p>
        </w:tc>
      </w:tr>
      <w:tr w:rsidR="006F2A6B" w14:paraId="2460FD76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EB85BA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7636C5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1FE355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14BEFAD9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E85995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Excedent de l’exercici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C16811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C24433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26.947,48</w:t>
            </w:r>
          </w:p>
        </w:tc>
      </w:tr>
      <w:tr w:rsidR="006F2A6B" w14:paraId="5754B752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A11A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414B4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AF990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20425329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0997FE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Subvencions, donacions i llegats rebuts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18DF7D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50.847,46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428DAE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50.847,46</w:t>
            </w:r>
          </w:p>
        </w:tc>
      </w:tr>
      <w:tr w:rsidR="006F2A6B" w14:paraId="2D4B5EBA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7D049E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Altres subvencions, donacions i llegats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26E821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A425CF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50.847,46</w:t>
            </w:r>
          </w:p>
        </w:tc>
      </w:tr>
      <w:tr w:rsidR="006F2A6B" w14:paraId="7169912F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7DC7F5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6CD94B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D9038B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031A2EBE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F39FEC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PASSIU CORRENT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24B17A6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1.045.524,03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5D6F8F8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50.290,96</w:t>
            </w:r>
          </w:p>
        </w:tc>
      </w:tr>
      <w:tr w:rsidR="006F2A6B" w14:paraId="0A67E7BD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7FF10A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4EC11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52392A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45D68944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31EB37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Deutes a curt termini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19879A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9.422,26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740AFD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9.422,26</w:t>
            </w:r>
          </w:p>
        </w:tc>
      </w:tr>
      <w:tr w:rsidR="006F2A6B" w14:paraId="4868B58E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5CCB32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Altres deutes a curt termini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C20AB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9.422,26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AE225B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9.422,26</w:t>
            </w:r>
          </w:p>
        </w:tc>
      </w:tr>
      <w:tr w:rsidR="006F2A6B" w14:paraId="468BEB45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09E0C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01041E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07B3DC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23C69281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CD8293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Creditors per activitats i altres comptes a pagar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6DFF9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1.011.101,77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9B317E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15.868,70</w:t>
            </w:r>
          </w:p>
        </w:tc>
      </w:tr>
      <w:tr w:rsidR="006F2A6B" w14:paraId="3EBC5EC9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EF2FB7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Proveïdors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063295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4.385,61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F5353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9.152,54</w:t>
            </w:r>
          </w:p>
        </w:tc>
      </w:tr>
      <w:tr w:rsidR="006F2A6B" w14:paraId="4DB65166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8D115F" w14:textId="77777777" w:rsidR="006F2A6B" w:rsidRDefault="006F2A6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Creditors varis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E046DF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1.006.716,16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0BBF4A" w14:textId="77777777" w:rsidR="006F2A6B" w:rsidRDefault="006F2A6B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6.716,16</w:t>
            </w:r>
          </w:p>
        </w:tc>
      </w:tr>
      <w:tr w:rsidR="006F2A6B" w14:paraId="4C04034B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5D95E3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C0B85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62AFEE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336AB00A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FF392C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Administracions Públiques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414086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5531F7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F2A6B" w14:paraId="3427B7D5" w14:textId="77777777" w:rsidTr="006F2A6B">
        <w:trPr>
          <w:trHeight w:val="24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F04B4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847587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9D7F42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2A6B" w14:paraId="3150813B" w14:textId="77777777" w:rsidTr="006F2A6B">
        <w:trPr>
          <w:trHeight w:val="285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C42A56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Periodificacions a curt termini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991BC7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25.000,00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CB88EC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6F2A6B" w14:paraId="5AC60244" w14:textId="77777777" w:rsidTr="006F2A6B">
        <w:trPr>
          <w:trHeight w:val="420"/>
          <w:jc w:val="center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7A7073" w14:textId="77777777" w:rsidR="006F2A6B" w:rsidRDefault="006F2A6B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TOTAL PATRIMONI NET I PASSIU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0C38D894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13.278.996,28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7BD94F59" w14:textId="77777777" w:rsidR="006F2A6B" w:rsidRDefault="006F2A6B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12.283.763,21</w:t>
            </w:r>
          </w:p>
        </w:tc>
      </w:tr>
    </w:tbl>
    <w:p w14:paraId="5E4848CB" w14:textId="77777777" w:rsidR="00534DB5" w:rsidRDefault="00534DB5">
      <w:pPr>
        <w:spacing w:after="200" w:line="276" w:lineRule="auto"/>
        <w:rPr>
          <w:lang w:eastAsia="en-US"/>
        </w:rPr>
      </w:pPr>
    </w:p>
    <w:p w14:paraId="161D8B8F" w14:textId="77777777" w:rsidR="00DD5409" w:rsidRPr="00DD5409" w:rsidRDefault="00DD5409" w:rsidP="00DD5409">
      <w:pPr>
        <w:rPr>
          <w:lang w:eastAsia="en-US"/>
        </w:rPr>
      </w:pPr>
    </w:p>
    <w:p w14:paraId="067FB170" w14:textId="77777777" w:rsidR="00DD5409" w:rsidRDefault="00DD5409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6BC6C9E9" w14:textId="77777777" w:rsidR="00DD5409" w:rsidRDefault="00DD5409" w:rsidP="00DD5409">
      <w:pPr>
        <w:rPr>
          <w:lang w:eastAsia="en-US"/>
        </w:rPr>
      </w:pPr>
    </w:p>
    <w:p w14:paraId="443CE0A3" w14:textId="77777777" w:rsidR="00DD5409" w:rsidRDefault="00DD5409" w:rsidP="00DD5409">
      <w:pPr>
        <w:rPr>
          <w:lang w:eastAsia="en-US"/>
        </w:rPr>
      </w:pPr>
    </w:p>
    <w:p w14:paraId="6E82A3C1" w14:textId="77777777" w:rsidR="00DD5409" w:rsidRDefault="00DD5409" w:rsidP="00DD5409">
      <w:pPr>
        <w:rPr>
          <w:lang w:eastAsia="en-US"/>
        </w:rPr>
      </w:pPr>
    </w:p>
    <w:p w14:paraId="24D11B73" w14:textId="77777777" w:rsidR="00DD5409" w:rsidRDefault="00DD5409" w:rsidP="00DD5409">
      <w:pPr>
        <w:rPr>
          <w:lang w:eastAsia="en-US"/>
        </w:rPr>
      </w:pPr>
    </w:p>
    <w:p w14:paraId="0516D9D5" w14:textId="77777777" w:rsidR="00DD5409" w:rsidRDefault="00DD5409" w:rsidP="00DD5409">
      <w:pPr>
        <w:rPr>
          <w:lang w:eastAsia="en-US"/>
        </w:rPr>
      </w:pPr>
    </w:p>
    <w:p w14:paraId="58AF65B1" w14:textId="77777777" w:rsidR="00DD5409" w:rsidRDefault="00DD5409" w:rsidP="00DD5409">
      <w:pPr>
        <w:rPr>
          <w:lang w:eastAsia="en-US"/>
        </w:rPr>
      </w:pPr>
    </w:p>
    <w:p w14:paraId="5BDD22AC" w14:textId="77777777" w:rsidR="00DD5409" w:rsidRDefault="00DD5409" w:rsidP="00DD5409">
      <w:pPr>
        <w:rPr>
          <w:lang w:eastAsia="en-US"/>
        </w:rPr>
      </w:pPr>
    </w:p>
    <w:p w14:paraId="4D88057D" w14:textId="77777777" w:rsidR="00DD5409" w:rsidRDefault="00DD5409" w:rsidP="00DD5409">
      <w:pPr>
        <w:rPr>
          <w:lang w:eastAsia="en-US"/>
        </w:rPr>
      </w:pPr>
    </w:p>
    <w:p w14:paraId="7647608D" w14:textId="77777777" w:rsidR="00DD5409" w:rsidRDefault="00DD5409" w:rsidP="00DD5409">
      <w:pPr>
        <w:rPr>
          <w:lang w:eastAsia="en-US"/>
        </w:rPr>
      </w:pPr>
    </w:p>
    <w:p w14:paraId="2B5000C1" w14:textId="77777777" w:rsidR="00DD5409" w:rsidRDefault="00DD5409" w:rsidP="00DD5409">
      <w:pPr>
        <w:rPr>
          <w:lang w:eastAsia="en-US"/>
        </w:rPr>
      </w:pPr>
    </w:p>
    <w:p w14:paraId="3739A596" w14:textId="77777777" w:rsidR="00DD5409" w:rsidRDefault="00DD5409" w:rsidP="00DD5409">
      <w:pPr>
        <w:rPr>
          <w:lang w:eastAsia="en-US"/>
        </w:rPr>
      </w:pPr>
    </w:p>
    <w:p w14:paraId="39922B2F" w14:textId="77777777" w:rsidR="00266F94" w:rsidRPr="00DD5409" w:rsidRDefault="00266F94" w:rsidP="00DD5409">
      <w:pPr>
        <w:rPr>
          <w:lang w:eastAsia="en-US"/>
        </w:rPr>
      </w:pPr>
    </w:p>
    <w:p w14:paraId="378F6CB0" w14:textId="77777777" w:rsidR="00760C88" w:rsidRDefault="00760C88" w:rsidP="00DD5409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</w:p>
    <w:p w14:paraId="144961C6" w14:textId="46A82640" w:rsidR="00DD5409" w:rsidRDefault="00DD5409" w:rsidP="00DD5409">
      <w:pPr>
        <w:pStyle w:val="Ttol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Memòria  exercici </w:t>
      </w:r>
      <w:r w:rsidRPr="00B17392">
        <w:rPr>
          <w:rFonts w:ascii="Arial" w:hAnsi="Arial" w:cs="Arial"/>
          <w:color w:val="auto"/>
          <w:sz w:val="32"/>
          <w:szCs w:val="32"/>
        </w:rPr>
        <w:t xml:space="preserve"> 20</w:t>
      </w:r>
      <w:r>
        <w:rPr>
          <w:rFonts w:ascii="Arial" w:hAnsi="Arial" w:cs="Arial"/>
          <w:color w:val="auto"/>
          <w:sz w:val="32"/>
          <w:szCs w:val="32"/>
        </w:rPr>
        <w:t>2</w:t>
      </w:r>
      <w:r w:rsidR="006F2A6B">
        <w:rPr>
          <w:rFonts w:ascii="Arial" w:hAnsi="Arial" w:cs="Arial"/>
          <w:color w:val="auto"/>
          <w:sz w:val="32"/>
          <w:szCs w:val="32"/>
        </w:rPr>
        <w:t>6</w:t>
      </w:r>
    </w:p>
    <w:p w14:paraId="5E38A77E" w14:textId="77777777" w:rsidR="00DD5409" w:rsidRDefault="00DD5409">
      <w:pPr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3E7E8050" w14:textId="77777777" w:rsidR="005A6759" w:rsidRDefault="005A6759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</w:p>
    <w:p w14:paraId="160D5A5A" w14:textId="1F6E5E1D" w:rsidR="00F746DC" w:rsidRPr="009051D9" w:rsidRDefault="00F746DC" w:rsidP="00F746DC">
      <w:pPr>
        <w:pStyle w:val="Ttol2"/>
        <w:rPr>
          <w:rFonts w:ascii="Arial" w:hAnsi="Arial" w:cs="Arial"/>
          <w:color w:val="auto"/>
          <w:sz w:val="22"/>
          <w:szCs w:val="22"/>
        </w:rPr>
      </w:pPr>
      <w:r w:rsidRPr="009051D9">
        <w:rPr>
          <w:rFonts w:ascii="Arial" w:hAnsi="Arial" w:cs="Arial"/>
          <w:color w:val="auto"/>
          <w:sz w:val="22"/>
          <w:szCs w:val="22"/>
        </w:rPr>
        <w:t xml:space="preserve">Bases utilitzades per avaluar ingressos i despeses </w:t>
      </w:r>
      <w:r>
        <w:rPr>
          <w:rFonts w:ascii="Arial" w:hAnsi="Arial" w:cs="Arial"/>
          <w:color w:val="auto"/>
          <w:sz w:val="22"/>
          <w:szCs w:val="22"/>
        </w:rPr>
        <w:t xml:space="preserve">de l’ </w:t>
      </w:r>
      <w:r w:rsidR="00DD5409">
        <w:rPr>
          <w:rFonts w:ascii="Arial" w:hAnsi="Arial" w:cs="Arial"/>
          <w:color w:val="auto"/>
          <w:sz w:val="22"/>
          <w:szCs w:val="22"/>
        </w:rPr>
        <w:t>exercici 202</w:t>
      </w:r>
      <w:r w:rsidR="0066411F">
        <w:rPr>
          <w:rFonts w:ascii="Arial" w:hAnsi="Arial" w:cs="Arial"/>
          <w:color w:val="auto"/>
          <w:sz w:val="22"/>
          <w:szCs w:val="22"/>
        </w:rPr>
        <w:t>6</w:t>
      </w:r>
      <w:r w:rsidRPr="009051D9">
        <w:rPr>
          <w:rFonts w:ascii="Arial" w:hAnsi="Arial" w:cs="Arial"/>
          <w:color w:val="auto"/>
          <w:sz w:val="22"/>
          <w:szCs w:val="22"/>
        </w:rPr>
        <w:t>.</w:t>
      </w:r>
    </w:p>
    <w:p w14:paraId="194FE7A5" w14:textId="77777777" w:rsidR="00F746DC" w:rsidRPr="009051D9" w:rsidRDefault="00F746DC" w:rsidP="00F746DC">
      <w:pPr>
        <w:jc w:val="center"/>
        <w:rPr>
          <w:rFonts w:ascii="Arial" w:hAnsi="Arial" w:cs="Arial"/>
          <w:sz w:val="22"/>
          <w:szCs w:val="22"/>
        </w:rPr>
      </w:pPr>
    </w:p>
    <w:p w14:paraId="29765A38" w14:textId="77777777" w:rsidR="008C0B1E" w:rsidRDefault="008C0B1E" w:rsidP="008C0B1E">
      <w:pPr>
        <w:jc w:val="both"/>
        <w:rPr>
          <w:rFonts w:ascii="Arial" w:hAnsi="Arial" w:cs="Arial"/>
          <w:sz w:val="22"/>
          <w:szCs w:val="22"/>
        </w:rPr>
      </w:pPr>
      <w:r w:rsidRPr="00A35451">
        <w:rPr>
          <w:rFonts w:ascii="Arial" w:hAnsi="Arial" w:cs="Arial"/>
          <w:sz w:val="22"/>
          <w:szCs w:val="22"/>
        </w:rPr>
        <w:t xml:space="preserve">La Fundació Barcelona Cultura té per objecte la promoció i el foment de la cultura en totes les seves manifestacions, vetllant pel foment de la diversitat cultural, el suport a tota mena </w:t>
      </w:r>
      <w:r w:rsidRPr="00297B25">
        <w:rPr>
          <w:rFonts w:ascii="Arial" w:hAnsi="Arial" w:cs="Arial"/>
          <w:sz w:val="22"/>
          <w:szCs w:val="22"/>
        </w:rPr>
        <w:t>d’accions i d’iniciatives destinades a la conservació, exhibició i difusió del patrimoni cultural i artístic, així com la projecció i divulgació internacional de la cultura catalana.</w:t>
      </w:r>
    </w:p>
    <w:p w14:paraId="3C6FCF71" w14:textId="77777777" w:rsidR="00497499" w:rsidRDefault="00497499" w:rsidP="008C0B1E">
      <w:pPr>
        <w:jc w:val="both"/>
        <w:rPr>
          <w:rFonts w:ascii="Arial" w:hAnsi="Arial" w:cs="Arial"/>
          <w:sz w:val="22"/>
          <w:szCs w:val="22"/>
        </w:rPr>
      </w:pPr>
    </w:p>
    <w:p w14:paraId="2875E543" w14:textId="77777777" w:rsidR="006D0463" w:rsidRDefault="00811EB7" w:rsidP="006D0463">
      <w:pPr>
        <w:jc w:val="both"/>
        <w:rPr>
          <w:rFonts w:ascii="HelveticaNeue" w:eastAsiaTheme="minorHAnsi" w:hAnsi="HelveticaNeue" w:cs="HelveticaNeue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Al </w:t>
      </w:r>
      <w:r w:rsidR="00497499">
        <w:rPr>
          <w:rFonts w:ascii="Arial" w:hAnsi="Arial" w:cs="Arial"/>
          <w:sz w:val="22"/>
          <w:szCs w:val="22"/>
        </w:rPr>
        <w:t xml:space="preserve">Patronat de la Fundació </w:t>
      </w:r>
      <w:r w:rsidR="006D0463">
        <w:rPr>
          <w:rFonts w:ascii="Arial" w:hAnsi="Arial" w:cs="Arial"/>
          <w:sz w:val="22"/>
          <w:szCs w:val="22"/>
        </w:rPr>
        <w:t xml:space="preserve">es </w:t>
      </w:r>
      <w:r w:rsidR="00497499">
        <w:rPr>
          <w:rFonts w:ascii="Arial" w:hAnsi="Arial" w:cs="Arial"/>
          <w:sz w:val="22"/>
          <w:szCs w:val="22"/>
        </w:rPr>
        <w:t xml:space="preserve">va aprovar, en la reunió del </w:t>
      </w:r>
      <w:r w:rsidR="00497499" w:rsidRPr="00760893">
        <w:rPr>
          <w:rFonts w:ascii="Arial" w:hAnsi="Arial" w:cs="Arial"/>
          <w:sz w:val="22"/>
          <w:szCs w:val="22"/>
        </w:rPr>
        <w:t xml:space="preserve">passat </w:t>
      </w:r>
      <w:r w:rsidR="00760893" w:rsidRPr="00760893">
        <w:rPr>
          <w:rFonts w:ascii="Arial" w:hAnsi="Arial" w:cs="Arial"/>
          <w:sz w:val="22"/>
          <w:szCs w:val="22"/>
        </w:rPr>
        <w:t>17 de setembre</w:t>
      </w:r>
      <w:r w:rsidR="00497499" w:rsidRPr="00760893">
        <w:rPr>
          <w:rFonts w:ascii="Arial" w:hAnsi="Arial" w:cs="Arial"/>
          <w:sz w:val="22"/>
          <w:szCs w:val="22"/>
        </w:rPr>
        <w:t xml:space="preserve"> de </w:t>
      </w:r>
      <w:r w:rsidR="00497499">
        <w:rPr>
          <w:rFonts w:ascii="Arial" w:hAnsi="Arial" w:cs="Arial"/>
          <w:sz w:val="22"/>
          <w:szCs w:val="22"/>
        </w:rPr>
        <w:t>2024</w:t>
      </w:r>
      <w:r w:rsidR="006D0463">
        <w:rPr>
          <w:rFonts w:ascii="Arial" w:hAnsi="Arial" w:cs="Arial"/>
          <w:sz w:val="22"/>
          <w:szCs w:val="22"/>
        </w:rPr>
        <w:t>,</w:t>
      </w:r>
      <w:r w:rsidR="00497499">
        <w:rPr>
          <w:rFonts w:ascii="Arial" w:hAnsi="Arial" w:cs="Arial"/>
          <w:sz w:val="22"/>
          <w:szCs w:val="22"/>
        </w:rPr>
        <w:t xml:space="preserve"> el Pla Estratègic per a la Fundació durant el període 2025-2027 en el</w:t>
      </w:r>
      <w:r w:rsidR="006D0463">
        <w:rPr>
          <w:rFonts w:ascii="Arial" w:hAnsi="Arial" w:cs="Arial"/>
          <w:sz w:val="22"/>
          <w:szCs w:val="22"/>
        </w:rPr>
        <w:t xml:space="preserve"> que s’estableixen, entre d’altres, els nous reptes d’aquesta etapa. Concretament:</w:t>
      </w:r>
    </w:p>
    <w:p w14:paraId="4DE9128E" w14:textId="77777777" w:rsidR="006D0463" w:rsidRDefault="006D0463" w:rsidP="006D0463">
      <w:pPr>
        <w:autoSpaceDE w:val="0"/>
        <w:autoSpaceDN w:val="0"/>
        <w:adjustRightInd w:val="0"/>
        <w:jc w:val="both"/>
        <w:rPr>
          <w:rFonts w:ascii="HelveticaNeue" w:eastAsiaTheme="minorHAnsi" w:hAnsi="HelveticaNeue" w:cs="HelveticaNeue"/>
          <w:sz w:val="22"/>
          <w:szCs w:val="22"/>
          <w:lang w:eastAsia="en-US"/>
        </w:rPr>
      </w:pPr>
      <w:r>
        <w:rPr>
          <w:rFonts w:ascii="HelveticaNeue" w:eastAsiaTheme="minorHAnsi" w:hAnsi="HelveticaNeue" w:cs="HelveticaNeue"/>
          <w:sz w:val="22"/>
          <w:szCs w:val="22"/>
          <w:lang w:eastAsia="en-US"/>
        </w:rPr>
        <w:t>1. Posar a disposició d’empreses i institucions compromeses amb la ciutat de Barcelona els mecanismes per invertir en el patrocini de les principals propostes culturals de l’Institut de Cultura de Barcelona (ICUB) i de l’Ajuntament de Barcelona.</w:t>
      </w:r>
    </w:p>
    <w:p w14:paraId="0179BBEA" w14:textId="77777777" w:rsidR="006D0463" w:rsidRDefault="006D0463" w:rsidP="006D0463">
      <w:pPr>
        <w:autoSpaceDE w:val="0"/>
        <w:autoSpaceDN w:val="0"/>
        <w:adjustRightInd w:val="0"/>
        <w:jc w:val="both"/>
        <w:rPr>
          <w:rFonts w:ascii="HelveticaNeue" w:eastAsiaTheme="minorHAnsi" w:hAnsi="HelveticaNeue" w:cs="HelveticaNeue"/>
          <w:sz w:val="22"/>
          <w:szCs w:val="22"/>
          <w:lang w:eastAsia="en-US"/>
        </w:rPr>
      </w:pPr>
      <w:r>
        <w:rPr>
          <w:rFonts w:ascii="HelveticaNeue" w:eastAsiaTheme="minorHAnsi" w:hAnsi="HelveticaNeue" w:cs="HelveticaNeue"/>
          <w:sz w:val="22"/>
          <w:szCs w:val="22"/>
          <w:lang w:eastAsia="en-US"/>
        </w:rPr>
        <w:t xml:space="preserve">2. Identificar, desenvolupar i consolidar nous programes culturals innovadors en el marc de les indústries creatives de Barcelona, i generar escenaris d’una major implicació entre el món empresarial i les iniciatives que es desenvolupen a la ciutat al voltant del disseny, la moda, les arts visuals, el </w:t>
      </w:r>
      <w:proofErr w:type="spellStart"/>
      <w:r>
        <w:rPr>
          <w:rFonts w:ascii="HelveticaNeue-Italic" w:eastAsiaTheme="minorHAnsi" w:hAnsi="HelveticaNeue-Italic" w:cs="HelveticaNeue-Italic"/>
          <w:i/>
          <w:iCs/>
          <w:sz w:val="22"/>
          <w:szCs w:val="22"/>
          <w:lang w:eastAsia="en-US"/>
        </w:rPr>
        <w:t>gaming</w:t>
      </w:r>
      <w:proofErr w:type="spellEnd"/>
      <w:r>
        <w:rPr>
          <w:rFonts w:ascii="HelveticaNeue" w:eastAsiaTheme="minorHAnsi" w:hAnsi="HelveticaNeue" w:cs="HelveticaNeue"/>
          <w:sz w:val="22"/>
          <w:szCs w:val="22"/>
          <w:lang w:eastAsia="en-US"/>
        </w:rPr>
        <w:t>, l’audiovisual, etc., impulsant així un salt d’escala en l’oferta cultural de la ciutat.</w:t>
      </w:r>
    </w:p>
    <w:p w14:paraId="362AA9D2" w14:textId="77777777" w:rsidR="006D0463" w:rsidRPr="006D0463" w:rsidRDefault="006D0463" w:rsidP="006D0463">
      <w:pPr>
        <w:autoSpaceDE w:val="0"/>
        <w:autoSpaceDN w:val="0"/>
        <w:adjustRightInd w:val="0"/>
        <w:jc w:val="both"/>
        <w:rPr>
          <w:rFonts w:ascii="HelveticaNeue" w:eastAsiaTheme="minorHAnsi" w:hAnsi="HelveticaNeue" w:cs="HelveticaNeue"/>
          <w:sz w:val="22"/>
          <w:szCs w:val="22"/>
          <w:lang w:eastAsia="en-US"/>
        </w:rPr>
      </w:pPr>
      <w:r>
        <w:rPr>
          <w:rFonts w:ascii="HelveticaNeue" w:eastAsiaTheme="minorHAnsi" w:hAnsi="HelveticaNeue" w:cs="HelveticaNeue"/>
          <w:sz w:val="22"/>
          <w:szCs w:val="22"/>
          <w:lang w:eastAsia="en-US"/>
        </w:rPr>
        <w:t>3. Generar un entorn propici al patrocini, treballant de la mà dels serveis municipals per incrementar les contrapartides tant en l’àmbit dels propis esdeveniments culturals, com en l’espai públic, o la comunicació digital.</w:t>
      </w:r>
    </w:p>
    <w:p w14:paraId="1DC19E68" w14:textId="77777777" w:rsidR="00811EB7" w:rsidRDefault="00811EB7" w:rsidP="008C0B1E">
      <w:pPr>
        <w:jc w:val="both"/>
        <w:rPr>
          <w:rFonts w:ascii="Arial" w:hAnsi="Arial" w:cs="Arial"/>
          <w:sz w:val="22"/>
          <w:szCs w:val="22"/>
        </w:rPr>
      </w:pPr>
    </w:p>
    <w:p w14:paraId="27E6B4CE" w14:textId="77777777" w:rsidR="00811EB7" w:rsidRDefault="006D0463" w:rsidP="006D0463">
      <w:pPr>
        <w:autoSpaceDE w:val="0"/>
        <w:autoSpaceDN w:val="0"/>
        <w:adjustRightInd w:val="0"/>
        <w:jc w:val="both"/>
        <w:rPr>
          <w:rFonts w:ascii="HelveticaNeue" w:eastAsiaTheme="minorHAnsi" w:hAnsi="HelveticaNeue" w:cs="HelveticaNeue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En aquest sentit, es proposa dur a terme convocatòries anuals d’aportacions i/o subvencions reintegrables definides com </w:t>
      </w:r>
      <w:r>
        <w:rPr>
          <w:rFonts w:ascii="HelveticaNeue" w:eastAsiaTheme="minorHAnsi" w:hAnsi="HelveticaNeue" w:cs="HelveticaNeue"/>
          <w:sz w:val="22"/>
          <w:szCs w:val="22"/>
          <w:lang w:eastAsia="en-US"/>
        </w:rPr>
        <w:t>ajuts econòmics en forma de “cofinançament” que permet</w:t>
      </w:r>
      <w:r w:rsidR="00292817">
        <w:rPr>
          <w:rFonts w:ascii="HelveticaNeue" w:eastAsiaTheme="minorHAnsi" w:hAnsi="HelveticaNeue" w:cs="HelveticaNeue"/>
          <w:sz w:val="22"/>
          <w:szCs w:val="22"/>
          <w:lang w:eastAsia="en-US"/>
        </w:rPr>
        <w:t>i</w:t>
      </w:r>
      <w:r>
        <w:rPr>
          <w:rFonts w:ascii="HelveticaNeue" w:eastAsiaTheme="minorHAnsi" w:hAnsi="HelveticaNeue" w:cs="HelveticaNeue"/>
          <w:sz w:val="22"/>
          <w:szCs w:val="22"/>
          <w:lang w:eastAsia="en-US"/>
        </w:rPr>
        <w:t>n disposar de finançament per a determinats projectes culturals. Són reintegrables en el sentit que en funció dels ingressos finalment obtinguts (és a dir, en funció de l’èxit del projecte), es pot acordar, cas a cas, retornar un percentatge de l’explotació dels projectes subvencionats.</w:t>
      </w:r>
    </w:p>
    <w:p w14:paraId="58B2FF14" w14:textId="77777777" w:rsidR="006D0463" w:rsidRDefault="006D0463" w:rsidP="006D0463">
      <w:pPr>
        <w:autoSpaceDE w:val="0"/>
        <w:autoSpaceDN w:val="0"/>
        <w:adjustRightInd w:val="0"/>
        <w:rPr>
          <w:rFonts w:ascii="HelveticaNeue" w:eastAsiaTheme="minorHAnsi" w:hAnsi="HelveticaNeue" w:cs="HelveticaNeue"/>
          <w:sz w:val="22"/>
          <w:szCs w:val="22"/>
          <w:lang w:eastAsia="en-US"/>
        </w:rPr>
      </w:pPr>
    </w:p>
    <w:p w14:paraId="65F07D9A" w14:textId="71E9544C" w:rsidR="006D0463" w:rsidRPr="006D0463" w:rsidRDefault="006D0463" w:rsidP="006D0463">
      <w:pPr>
        <w:autoSpaceDE w:val="0"/>
        <w:autoSpaceDN w:val="0"/>
        <w:adjustRightInd w:val="0"/>
        <w:jc w:val="both"/>
        <w:rPr>
          <w:rFonts w:ascii="HelveticaNeue" w:eastAsiaTheme="minorHAnsi" w:hAnsi="HelveticaNeue" w:cs="HelveticaNeue"/>
          <w:sz w:val="22"/>
          <w:szCs w:val="22"/>
          <w:lang w:eastAsia="en-US"/>
        </w:rPr>
      </w:pPr>
      <w:r>
        <w:rPr>
          <w:rFonts w:ascii="HelveticaNeue" w:eastAsiaTheme="minorHAnsi" w:hAnsi="HelveticaNeue" w:cs="HelveticaNeue"/>
          <w:sz w:val="22"/>
          <w:szCs w:val="22"/>
          <w:lang w:eastAsia="en-US"/>
        </w:rPr>
        <w:t xml:space="preserve">Al pressupost 2025 es </w:t>
      </w:r>
      <w:r w:rsidR="002539C1">
        <w:rPr>
          <w:rFonts w:ascii="HelveticaNeue" w:eastAsiaTheme="minorHAnsi" w:hAnsi="HelveticaNeue" w:cs="HelveticaNeue"/>
          <w:sz w:val="22"/>
          <w:szCs w:val="22"/>
          <w:lang w:eastAsia="en-US"/>
        </w:rPr>
        <w:t xml:space="preserve">va preveure poder iniciar aquesta pla de subvencions però no ha estat possible dur-lo a terme. Així, al pressupost 2026 es </w:t>
      </w:r>
      <w:r>
        <w:rPr>
          <w:rFonts w:ascii="HelveticaNeue" w:eastAsiaTheme="minorHAnsi" w:hAnsi="HelveticaNeue" w:cs="HelveticaNeue"/>
          <w:sz w:val="22"/>
          <w:szCs w:val="22"/>
          <w:lang w:eastAsia="en-US"/>
        </w:rPr>
        <w:t xml:space="preserve">preveu que es puguin atorgar </w:t>
      </w:r>
      <w:r w:rsidR="002539C1">
        <w:rPr>
          <w:rFonts w:ascii="HelveticaNeue" w:eastAsiaTheme="minorHAnsi" w:hAnsi="HelveticaNeue" w:cs="HelveticaNeue"/>
          <w:sz w:val="22"/>
          <w:szCs w:val="22"/>
          <w:lang w:eastAsia="en-US"/>
        </w:rPr>
        <w:t xml:space="preserve">aquestes </w:t>
      </w:r>
      <w:r>
        <w:rPr>
          <w:rFonts w:ascii="HelveticaNeue" w:eastAsiaTheme="minorHAnsi" w:hAnsi="HelveticaNeue" w:cs="HelveticaNeue"/>
          <w:sz w:val="22"/>
          <w:szCs w:val="22"/>
          <w:lang w:eastAsia="en-US"/>
        </w:rPr>
        <w:t>subvencions reintegrables, inicialment d’ 1.000.000 d’euros</w:t>
      </w:r>
      <w:r w:rsidR="00292817">
        <w:rPr>
          <w:rFonts w:ascii="HelveticaNeue" w:eastAsiaTheme="minorHAnsi" w:hAnsi="HelveticaNeue" w:cs="HelveticaNeue"/>
          <w:sz w:val="22"/>
          <w:szCs w:val="22"/>
          <w:lang w:eastAsia="en-US"/>
        </w:rPr>
        <w:t>,</w:t>
      </w:r>
      <w:r>
        <w:rPr>
          <w:rFonts w:ascii="HelveticaNeue" w:eastAsiaTheme="minorHAnsi" w:hAnsi="HelveticaNeue" w:cs="HelveticaNeue"/>
          <w:sz w:val="22"/>
          <w:szCs w:val="22"/>
          <w:lang w:eastAsia="en-US"/>
        </w:rPr>
        <w:t xml:space="preserve"> amb aportacions voluntàries dels patrons de la Fundació, així com els recursos provinents de convenis de col·laboració amb altres entitats o empreses que no formen part del Patronat.</w:t>
      </w:r>
    </w:p>
    <w:p w14:paraId="560F66E5" w14:textId="77777777" w:rsidR="00F254D6" w:rsidRPr="00297B25" w:rsidRDefault="00F254D6" w:rsidP="004B2057">
      <w:pPr>
        <w:jc w:val="both"/>
        <w:rPr>
          <w:rFonts w:ascii="Arial" w:hAnsi="Arial" w:cs="Arial"/>
          <w:sz w:val="22"/>
          <w:szCs w:val="22"/>
        </w:rPr>
      </w:pPr>
    </w:p>
    <w:p w14:paraId="27EB32E3" w14:textId="77777777" w:rsidR="004B2057" w:rsidRPr="00297B25" w:rsidRDefault="004B2057" w:rsidP="004B2057">
      <w:pPr>
        <w:jc w:val="both"/>
        <w:rPr>
          <w:rFonts w:ascii="Arial" w:hAnsi="Arial" w:cs="Arial"/>
          <w:b/>
          <w:sz w:val="22"/>
          <w:szCs w:val="22"/>
        </w:rPr>
      </w:pPr>
      <w:r w:rsidRPr="00297B25">
        <w:rPr>
          <w:rFonts w:ascii="Arial" w:hAnsi="Arial" w:cs="Arial"/>
          <w:b/>
          <w:sz w:val="22"/>
          <w:szCs w:val="22"/>
        </w:rPr>
        <w:t>Ingressos</w:t>
      </w:r>
    </w:p>
    <w:p w14:paraId="050C0430" w14:textId="77777777" w:rsidR="00F746DC" w:rsidRPr="00297B25" w:rsidRDefault="00F746DC" w:rsidP="00F746DC">
      <w:pPr>
        <w:jc w:val="both"/>
        <w:rPr>
          <w:rFonts w:ascii="Arial" w:hAnsi="Arial" w:cs="Arial"/>
          <w:sz w:val="22"/>
          <w:szCs w:val="22"/>
        </w:rPr>
      </w:pPr>
    </w:p>
    <w:p w14:paraId="3909511F" w14:textId="6E926385" w:rsidR="00F254D6" w:rsidRPr="00297B25" w:rsidRDefault="00A41C1B" w:rsidP="00F254D6">
      <w:pPr>
        <w:jc w:val="both"/>
        <w:rPr>
          <w:rFonts w:ascii="Arial" w:hAnsi="Arial" w:cs="Arial"/>
          <w:iCs/>
          <w:sz w:val="22"/>
          <w:szCs w:val="22"/>
        </w:rPr>
      </w:pPr>
      <w:r w:rsidRPr="00297B25">
        <w:rPr>
          <w:rFonts w:ascii="Arial" w:hAnsi="Arial" w:cs="Arial"/>
          <w:sz w:val="22"/>
          <w:szCs w:val="22"/>
        </w:rPr>
        <w:t xml:space="preserve">Als </w:t>
      </w:r>
      <w:r w:rsidR="00CC2D81" w:rsidRPr="00297B25">
        <w:rPr>
          <w:rFonts w:ascii="Arial" w:hAnsi="Arial" w:cs="Arial"/>
          <w:sz w:val="22"/>
          <w:szCs w:val="22"/>
        </w:rPr>
        <w:t>efectes d’elaboració del pressupost 202</w:t>
      </w:r>
      <w:r w:rsidR="002539C1">
        <w:rPr>
          <w:rFonts w:ascii="Arial" w:hAnsi="Arial" w:cs="Arial"/>
          <w:sz w:val="22"/>
          <w:szCs w:val="22"/>
        </w:rPr>
        <w:t>6</w:t>
      </w:r>
      <w:r w:rsidR="00CC2D81" w:rsidRPr="00297B25">
        <w:rPr>
          <w:rFonts w:ascii="Arial" w:hAnsi="Arial" w:cs="Arial"/>
          <w:sz w:val="22"/>
          <w:szCs w:val="22"/>
        </w:rPr>
        <w:t>, s’ha</w:t>
      </w:r>
      <w:r w:rsidR="00F254D6" w:rsidRPr="00297B25">
        <w:rPr>
          <w:rFonts w:ascii="Arial" w:hAnsi="Arial" w:cs="Arial"/>
          <w:sz w:val="22"/>
          <w:szCs w:val="22"/>
        </w:rPr>
        <w:t>n</w:t>
      </w:r>
      <w:r w:rsidR="00CC2D81" w:rsidRPr="00297B25">
        <w:rPr>
          <w:rFonts w:ascii="Arial" w:hAnsi="Arial" w:cs="Arial"/>
          <w:sz w:val="22"/>
          <w:szCs w:val="22"/>
        </w:rPr>
        <w:t xml:space="preserve"> considerat </w:t>
      </w:r>
      <w:r w:rsidR="00F254D6" w:rsidRPr="00297B25">
        <w:rPr>
          <w:rFonts w:ascii="Arial" w:hAnsi="Arial" w:cs="Arial"/>
          <w:sz w:val="22"/>
          <w:szCs w:val="22"/>
        </w:rPr>
        <w:t xml:space="preserve">els ingressos previstos relacionats amb actuacions que es realitzin amb motiu de </w:t>
      </w:r>
      <w:r w:rsidR="00297B25" w:rsidRPr="00297B25">
        <w:rPr>
          <w:rFonts w:ascii="Arial" w:hAnsi="Arial" w:cs="Arial"/>
          <w:sz w:val="22"/>
          <w:szCs w:val="22"/>
        </w:rPr>
        <w:t>la promoció de la cultura a la ciutat de Barcelona</w:t>
      </w:r>
      <w:r w:rsidR="006D0463">
        <w:rPr>
          <w:rFonts w:ascii="Arial" w:hAnsi="Arial" w:cs="Arial"/>
          <w:sz w:val="22"/>
          <w:szCs w:val="22"/>
        </w:rPr>
        <w:t xml:space="preserve">, </w:t>
      </w:r>
      <w:r w:rsidR="006B1BEB">
        <w:rPr>
          <w:rFonts w:ascii="Arial" w:hAnsi="Arial" w:cs="Arial"/>
          <w:sz w:val="22"/>
          <w:szCs w:val="22"/>
        </w:rPr>
        <w:t>concretament</w:t>
      </w:r>
      <w:r w:rsidR="006D0463">
        <w:rPr>
          <w:rFonts w:ascii="Arial" w:hAnsi="Arial" w:cs="Arial"/>
          <w:sz w:val="22"/>
          <w:szCs w:val="22"/>
        </w:rPr>
        <w:t xml:space="preserve"> els previstos per l’execució de les convocatòries reintegrables descrites anteriorment</w:t>
      </w:r>
      <w:r w:rsidR="00297B25" w:rsidRPr="00297B25">
        <w:rPr>
          <w:rFonts w:ascii="Arial" w:hAnsi="Arial" w:cs="Arial"/>
          <w:sz w:val="22"/>
          <w:szCs w:val="22"/>
        </w:rPr>
        <w:t>.</w:t>
      </w:r>
    </w:p>
    <w:p w14:paraId="3579E821" w14:textId="77777777" w:rsidR="00CC2D81" w:rsidRPr="00DF60E8" w:rsidRDefault="00CC2D81" w:rsidP="00F746DC">
      <w:pPr>
        <w:jc w:val="both"/>
        <w:rPr>
          <w:rFonts w:ascii="Arial" w:hAnsi="Arial" w:cs="Arial"/>
          <w:sz w:val="22"/>
          <w:szCs w:val="22"/>
        </w:rPr>
      </w:pPr>
    </w:p>
    <w:p w14:paraId="20CB19F9" w14:textId="77777777" w:rsidR="00664902" w:rsidRDefault="00A24F82" w:rsidP="00F746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concepte</w:t>
      </w:r>
      <w:r w:rsidR="00F746DC" w:rsidRPr="00DF60E8">
        <w:rPr>
          <w:rFonts w:ascii="Arial" w:hAnsi="Arial" w:cs="Arial"/>
          <w:sz w:val="22"/>
          <w:szCs w:val="22"/>
        </w:rPr>
        <w:t xml:space="preserve"> “Ingressos de promocions, p</w:t>
      </w:r>
      <w:r w:rsidR="00292817">
        <w:rPr>
          <w:rFonts w:ascii="Arial" w:hAnsi="Arial" w:cs="Arial"/>
          <w:sz w:val="22"/>
          <w:szCs w:val="22"/>
        </w:rPr>
        <w:t xml:space="preserve">atrocinadors i col·laboracions”, </w:t>
      </w:r>
      <w:r w:rsidR="00F746DC" w:rsidRPr="00DF60E8">
        <w:rPr>
          <w:rFonts w:ascii="Arial" w:hAnsi="Arial" w:cs="Arial"/>
          <w:sz w:val="22"/>
          <w:szCs w:val="22"/>
        </w:rPr>
        <w:t xml:space="preserve">que ascendeix a </w:t>
      </w:r>
      <w:r w:rsidR="006B1BEB">
        <w:rPr>
          <w:rFonts w:ascii="Arial" w:hAnsi="Arial" w:cs="Arial"/>
          <w:sz w:val="22"/>
          <w:szCs w:val="22"/>
        </w:rPr>
        <w:t>500</w:t>
      </w:r>
      <w:r w:rsidR="00C46540" w:rsidRPr="00DF60E8">
        <w:rPr>
          <w:rFonts w:ascii="Arial" w:hAnsi="Arial" w:cs="Arial"/>
          <w:sz w:val="22"/>
          <w:szCs w:val="22"/>
        </w:rPr>
        <w:t>.000,00</w:t>
      </w:r>
      <w:r w:rsidR="00F746DC" w:rsidRPr="00DF60E8">
        <w:rPr>
          <w:rFonts w:ascii="Arial" w:hAnsi="Arial" w:cs="Arial"/>
          <w:sz w:val="22"/>
          <w:szCs w:val="22"/>
        </w:rPr>
        <w:t xml:space="preserve"> €</w:t>
      </w:r>
      <w:r w:rsidR="00AA5EFB" w:rsidRPr="00DF60E8">
        <w:rPr>
          <w:rFonts w:ascii="Arial" w:hAnsi="Arial" w:cs="Arial"/>
          <w:sz w:val="22"/>
          <w:szCs w:val="22"/>
        </w:rPr>
        <w:t>,</w:t>
      </w:r>
      <w:r w:rsidR="00F746DC" w:rsidRPr="00DF60E8">
        <w:rPr>
          <w:rFonts w:ascii="Arial" w:hAnsi="Arial" w:cs="Arial"/>
          <w:sz w:val="22"/>
          <w:szCs w:val="22"/>
        </w:rPr>
        <w:t xml:space="preserve"> inclou patrocinis per col·laborar</w:t>
      </w:r>
      <w:r w:rsidR="004B2057" w:rsidRPr="00DF60E8">
        <w:rPr>
          <w:rFonts w:ascii="Arial" w:hAnsi="Arial" w:cs="Arial"/>
          <w:sz w:val="22"/>
          <w:szCs w:val="22"/>
        </w:rPr>
        <w:t xml:space="preserve"> en el desenvolupament de les activitats anteriorment descrites</w:t>
      </w:r>
      <w:r w:rsidR="00B92718">
        <w:rPr>
          <w:rFonts w:ascii="Arial" w:hAnsi="Arial" w:cs="Arial"/>
          <w:sz w:val="22"/>
          <w:szCs w:val="22"/>
        </w:rPr>
        <w:t>.</w:t>
      </w:r>
    </w:p>
    <w:p w14:paraId="2AB03316" w14:textId="77777777" w:rsidR="00292817" w:rsidRDefault="00292817" w:rsidP="00F746DC">
      <w:pPr>
        <w:jc w:val="both"/>
        <w:rPr>
          <w:rFonts w:ascii="Arial" w:hAnsi="Arial" w:cs="Arial"/>
          <w:sz w:val="22"/>
          <w:szCs w:val="22"/>
        </w:rPr>
      </w:pPr>
    </w:p>
    <w:p w14:paraId="44A48D5D" w14:textId="77777777" w:rsidR="004B2057" w:rsidRDefault="00292817" w:rsidP="00F746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Pr="00292817">
        <w:rPr>
          <w:rFonts w:ascii="Arial" w:hAnsi="Arial" w:cs="Arial"/>
          <w:sz w:val="22"/>
          <w:szCs w:val="22"/>
        </w:rPr>
        <w:t>Donacions i altres ingressos per a activitats</w:t>
      </w:r>
      <w:r>
        <w:rPr>
          <w:rFonts w:ascii="Arial" w:hAnsi="Arial" w:cs="Arial"/>
          <w:sz w:val="22"/>
          <w:szCs w:val="22"/>
        </w:rPr>
        <w:t>”</w:t>
      </w:r>
      <w:r w:rsidRPr="00292817">
        <w:rPr>
          <w:rFonts w:ascii="Arial" w:hAnsi="Arial" w:cs="Arial"/>
          <w:sz w:val="22"/>
          <w:szCs w:val="22"/>
        </w:rPr>
        <w:t xml:space="preserve"> inclou </w:t>
      </w:r>
      <w:r>
        <w:rPr>
          <w:rFonts w:ascii="Arial" w:hAnsi="Arial" w:cs="Arial"/>
          <w:sz w:val="22"/>
          <w:szCs w:val="22"/>
        </w:rPr>
        <w:t>la partida d’ “</w:t>
      </w:r>
      <w:r w:rsidRPr="00292817">
        <w:rPr>
          <w:rFonts w:ascii="Arial" w:hAnsi="Arial" w:cs="Arial"/>
          <w:sz w:val="22"/>
          <w:szCs w:val="22"/>
        </w:rPr>
        <w:t>altres ingressos</w:t>
      </w:r>
      <w:r>
        <w:rPr>
          <w:rFonts w:ascii="Arial" w:hAnsi="Arial" w:cs="Arial"/>
          <w:sz w:val="22"/>
          <w:szCs w:val="22"/>
        </w:rPr>
        <w:t xml:space="preserve">”, que </w:t>
      </w:r>
      <w:r w:rsidRPr="00292817">
        <w:rPr>
          <w:rFonts w:ascii="Arial" w:hAnsi="Arial" w:cs="Arial"/>
          <w:sz w:val="22"/>
          <w:szCs w:val="22"/>
        </w:rPr>
        <w:t>recull la previsió d’ingressos voluntaris dels patrons de la Fundació per dur a term</w:t>
      </w:r>
      <w:r w:rsidR="00A24F82">
        <w:rPr>
          <w:rFonts w:ascii="Arial" w:hAnsi="Arial" w:cs="Arial"/>
          <w:sz w:val="22"/>
          <w:szCs w:val="22"/>
        </w:rPr>
        <w:t>e les subvencions reintegrables, i</w:t>
      </w:r>
      <w:r>
        <w:rPr>
          <w:rFonts w:ascii="Arial" w:hAnsi="Arial" w:cs="Arial"/>
          <w:sz w:val="22"/>
          <w:szCs w:val="22"/>
        </w:rPr>
        <w:t xml:space="preserve"> l</w:t>
      </w:r>
      <w:r w:rsidR="00F746DC" w:rsidRPr="00DF60E8">
        <w:rPr>
          <w:rFonts w:ascii="Arial" w:hAnsi="Arial" w:cs="Arial"/>
          <w:sz w:val="22"/>
          <w:szCs w:val="22"/>
        </w:rPr>
        <w:t>a partida “</w:t>
      </w:r>
      <w:r w:rsidR="00534DB5">
        <w:rPr>
          <w:rFonts w:ascii="Arial" w:hAnsi="Arial" w:cs="Arial"/>
          <w:sz w:val="22"/>
          <w:szCs w:val="22"/>
        </w:rPr>
        <w:t>D’entitats públiques de l’Ajuntament</w:t>
      </w:r>
      <w:r w:rsidR="004B2057" w:rsidRPr="00DF60E8">
        <w:rPr>
          <w:rFonts w:ascii="Arial" w:hAnsi="Arial" w:cs="Arial"/>
          <w:sz w:val="22"/>
          <w:szCs w:val="22"/>
        </w:rPr>
        <w:t xml:space="preserve">” per </w:t>
      </w:r>
      <w:r w:rsidR="00534DB5">
        <w:rPr>
          <w:rFonts w:ascii="Arial" w:hAnsi="Arial" w:cs="Arial"/>
          <w:sz w:val="22"/>
          <w:szCs w:val="22"/>
        </w:rPr>
        <w:t>3</w:t>
      </w:r>
      <w:r w:rsidR="00CC2D81" w:rsidRPr="00DF60E8">
        <w:rPr>
          <w:rFonts w:ascii="Arial" w:hAnsi="Arial" w:cs="Arial"/>
          <w:sz w:val="22"/>
          <w:szCs w:val="22"/>
        </w:rPr>
        <w:t>0</w:t>
      </w:r>
      <w:r w:rsidR="004B2057" w:rsidRPr="00DF60E8">
        <w:rPr>
          <w:rFonts w:ascii="Arial" w:hAnsi="Arial" w:cs="Arial"/>
          <w:sz w:val="22"/>
          <w:szCs w:val="22"/>
        </w:rPr>
        <w:t>.00</w:t>
      </w:r>
      <w:r w:rsidR="004703D3" w:rsidRPr="00DF60E8">
        <w:rPr>
          <w:rFonts w:ascii="Arial" w:hAnsi="Arial" w:cs="Arial"/>
          <w:sz w:val="22"/>
          <w:szCs w:val="22"/>
        </w:rPr>
        <w:t>0</w:t>
      </w:r>
      <w:r w:rsidR="004B2057" w:rsidRPr="00DF60E8">
        <w:rPr>
          <w:rFonts w:ascii="Arial" w:hAnsi="Arial" w:cs="Arial"/>
          <w:sz w:val="22"/>
          <w:szCs w:val="22"/>
        </w:rPr>
        <w:t>,00</w:t>
      </w:r>
      <w:r w:rsidR="00B22CD5" w:rsidRPr="00DF60E8">
        <w:rPr>
          <w:rFonts w:ascii="Arial" w:hAnsi="Arial" w:cs="Arial"/>
          <w:sz w:val="22"/>
          <w:szCs w:val="22"/>
        </w:rPr>
        <w:t xml:space="preserve"> </w:t>
      </w:r>
      <w:r w:rsidR="004B2057" w:rsidRPr="00DF60E8">
        <w:rPr>
          <w:rFonts w:ascii="Arial" w:hAnsi="Arial" w:cs="Arial"/>
          <w:sz w:val="22"/>
          <w:szCs w:val="22"/>
        </w:rPr>
        <w:t>€</w:t>
      </w:r>
      <w:r w:rsidR="00A24F82">
        <w:rPr>
          <w:rFonts w:ascii="Arial" w:hAnsi="Arial" w:cs="Arial"/>
          <w:sz w:val="22"/>
          <w:szCs w:val="22"/>
        </w:rPr>
        <w:t>, que</w:t>
      </w:r>
      <w:r w:rsidR="00F746DC" w:rsidRPr="00DF60E8">
        <w:rPr>
          <w:rFonts w:ascii="Arial" w:hAnsi="Arial" w:cs="Arial"/>
          <w:sz w:val="22"/>
          <w:szCs w:val="22"/>
        </w:rPr>
        <w:t xml:space="preserve"> </w:t>
      </w:r>
      <w:r w:rsidR="00534DB5">
        <w:rPr>
          <w:rFonts w:ascii="Arial" w:hAnsi="Arial" w:cs="Arial"/>
          <w:sz w:val="22"/>
          <w:szCs w:val="22"/>
        </w:rPr>
        <w:t>fa referència a una transferència d</w:t>
      </w:r>
      <w:r w:rsidR="00F746DC" w:rsidRPr="00DF60E8">
        <w:rPr>
          <w:rFonts w:ascii="Arial" w:hAnsi="Arial" w:cs="Arial"/>
          <w:sz w:val="22"/>
          <w:szCs w:val="22"/>
        </w:rPr>
        <w:t xml:space="preserve"> ingressos </w:t>
      </w:r>
      <w:r w:rsidR="00534DB5">
        <w:rPr>
          <w:rFonts w:ascii="Arial" w:hAnsi="Arial" w:cs="Arial"/>
          <w:sz w:val="22"/>
          <w:szCs w:val="22"/>
        </w:rPr>
        <w:t>per a fer front a les despeses de gestió de la Fundació</w:t>
      </w:r>
      <w:r w:rsidR="004B2057" w:rsidRPr="00DF60E8">
        <w:rPr>
          <w:rFonts w:ascii="Arial" w:hAnsi="Arial" w:cs="Arial"/>
          <w:sz w:val="22"/>
          <w:szCs w:val="22"/>
        </w:rPr>
        <w:t xml:space="preserve">. </w:t>
      </w:r>
    </w:p>
    <w:p w14:paraId="77CFEF5D" w14:textId="77777777" w:rsidR="007C2254" w:rsidRDefault="007C2254" w:rsidP="00F746DC">
      <w:pPr>
        <w:jc w:val="both"/>
        <w:rPr>
          <w:rFonts w:ascii="Arial" w:hAnsi="Arial" w:cs="Arial"/>
          <w:sz w:val="22"/>
          <w:szCs w:val="22"/>
        </w:rPr>
      </w:pPr>
    </w:p>
    <w:p w14:paraId="7F1EC708" w14:textId="77777777" w:rsidR="00CC2D81" w:rsidRDefault="00CC2D81" w:rsidP="00F746DC">
      <w:pPr>
        <w:jc w:val="both"/>
        <w:rPr>
          <w:rFonts w:ascii="Arial" w:hAnsi="Arial" w:cs="Arial"/>
          <w:sz w:val="22"/>
          <w:szCs w:val="22"/>
        </w:rPr>
      </w:pPr>
    </w:p>
    <w:p w14:paraId="5AC66EAC" w14:textId="77777777" w:rsidR="00292817" w:rsidRDefault="00292817" w:rsidP="00F746DC">
      <w:pPr>
        <w:jc w:val="both"/>
        <w:rPr>
          <w:rFonts w:ascii="Arial" w:hAnsi="Arial" w:cs="Arial"/>
          <w:sz w:val="22"/>
          <w:szCs w:val="22"/>
        </w:rPr>
      </w:pPr>
    </w:p>
    <w:p w14:paraId="0990A490" w14:textId="77777777" w:rsidR="00F746DC" w:rsidRPr="009051D9" w:rsidRDefault="00F746DC" w:rsidP="00F746DC">
      <w:pPr>
        <w:jc w:val="both"/>
        <w:rPr>
          <w:rFonts w:ascii="Arial" w:hAnsi="Arial" w:cs="Arial"/>
          <w:b/>
          <w:sz w:val="22"/>
          <w:szCs w:val="22"/>
        </w:rPr>
      </w:pPr>
      <w:r w:rsidRPr="009051D9">
        <w:rPr>
          <w:rFonts w:ascii="Arial" w:hAnsi="Arial" w:cs="Arial"/>
          <w:b/>
          <w:sz w:val="22"/>
          <w:szCs w:val="22"/>
        </w:rPr>
        <w:t>Despeses</w:t>
      </w:r>
    </w:p>
    <w:p w14:paraId="0D05E741" w14:textId="77777777" w:rsidR="00F746DC" w:rsidRPr="009051D9" w:rsidRDefault="00F746DC" w:rsidP="00F746DC">
      <w:pPr>
        <w:jc w:val="both"/>
        <w:rPr>
          <w:rFonts w:ascii="Arial" w:hAnsi="Arial" w:cs="Arial"/>
          <w:sz w:val="22"/>
          <w:szCs w:val="22"/>
        </w:rPr>
      </w:pPr>
    </w:p>
    <w:p w14:paraId="36857245" w14:textId="2832233B" w:rsidR="00F746DC" w:rsidRDefault="00F746DC" w:rsidP="00F746D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A6759">
        <w:rPr>
          <w:rFonts w:ascii="Arial" w:hAnsi="Arial" w:cs="Arial"/>
          <w:sz w:val="22"/>
          <w:szCs w:val="22"/>
        </w:rPr>
        <w:t xml:space="preserve">Les despeses imputades </w:t>
      </w:r>
      <w:r w:rsidR="000A60E7" w:rsidRPr="005A6759">
        <w:rPr>
          <w:rFonts w:ascii="Arial" w:hAnsi="Arial" w:cs="Arial"/>
          <w:sz w:val="22"/>
          <w:szCs w:val="22"/>
        </w:rPr>
        <w:t>a</w:t>
      </w:r>
      <w:r w:rsidRPr="005A6759">
        <w:rPr>
          <w:rFonts w:ascii="Arial" w:hAnsi="Arial" w:cs="Arial"/>
          <w:sz w:val="22"/>
          <w:szCs w:val="22"/>
        </w:rPr>
        <w:t xml:space="preserve"> l’exercici 20</w:t>
      </w:r>
      <w:r w:rsidR="00647F0E" w:rsidRPr="005A6759">
        <w:rPr>
          <w:rFonts w:ascii="Arial" w:hAnsi="Arial" w:cs="Arial"/>
          <w:sz w:val="22"/>
          <w:szCs w:val="22"/>
        </w:rPr>
        <w:t>2</w:t>
      </w:r>
      <w:r w:rsidR="005710C1">
        <w:rPr>
          <w:rFonts w:ascii="Arial" w:hAnsi="Arial" w:cs="Arial"/>
          <w:sz w:val="22"/>
          <w:szCs w:val="22"/>
        </w:rPr>
        <w:t>6</w:t>
      </w:r>
      <w:r w:rsidRPr="005A6759">
        <w:rPr>
          <w:rFonts w:ascii="Arial" w:hAnsi="Arial" w:cs="Arial"/>
          <w:sz w:val="22"/>
          <w:szCs w:val="22"/>
        </w:rPr>
        <w:t xml:space="preserve"> es destinen en més d’un 70% a les finalitats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fundacionals</w:t>
      </w:r>
      <w:r w:rsidRPr="005A6759">
        <w:rPr>
          <w:rFonts w:ascii="Arial" w:hAnsi="Arial" w:cs="Arial"/>
          <w:sz w:val="22"/>
          <w:szCs w:val="22"/>
        </w:rPr>
        <w:t xml:space="preserve">, donant així 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>compliment a l’article 333.2 de la Llei 4/2008 de 24 d’abril.</w:t>
      </w:r>
    </w:p>
    <w:p w14:paraId="387D89BF" w14:textId="77777777" w:rsidR="00A24F82" w:rsidRDefault="00A24F82" w:rsidP="00F746D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31A4592" w14:textId="77777777" w:rsidR="00A24F82" w:rsidRPr="00A24F82" w:rsidRDefault="00A24F82" w:rsidP="00F746DC">
      <w:pPr>
        <w:jc w:val="both"/>
        <w:rPr>
          <w:rFonts w:ascii="Arial" w:hAnsi="Arial" w:cs="Arial"/>
          <w:sz w:val="22"/>
          <w:szCs w:val="22"/>
        </w:rPr>
      </w:pPr>
      <w:r w:rsidRPr="00A24F82">
        <w:rPr>
          <w:rFonts w:ascii="Arial" w:hAnsi="Arial" w:cs="Arial"/>
          <w:sz w:val="22"/>
          <w:szCs w:val="22"/>
        </w:rPr>
        <w:t xml:space="preserve">Els “Ajusts concedits i altres despeses” recull la previsió relativa a la </w:t>
      </w:r>
      <w:r>
        <w:rPr>
          <w:rFonts w:ascii="Arial" w:hAnsi="Arial" w:cs="Arial"/>
          <w:sz w:val="22"/>
          <w:szCs w:val="22"/>
        </w:rPr>
        <w:t>convocatòria anual d’aportacions i/o subvencions reintegrables descrites anteriorment.</w:t>
      </w:r>
    </w:p>
    <w:p w14:paraId="61EBBC11" w14:textId="77777777" w:rsidR="00F746DC" w:rsidRPr="005A6759" w:rsidRDefault="00F746DC" w:rsidP="00F746D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B9AC3B3" w14:textId="77777777" w:rsidR="00884764" w:rsidRPr="005A6759" w:rsidRDefault="00884764" w:rsidP="00F746D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Els </w:t>
      </w:r>
      <w:r w:rsidR="000A60E7"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“Serveis 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>professionals</w:t>
      </w:r>
      <w:r w:rsidR="000A60E7" w:rsidRPr="005A6759">
        <w:rPr>
          <w:rFonts w:ascii="Arial" w:eastAsiaTheme="minorHAnsi" w:hAnsi="Arial" w:cs="Arial"/>
          <w:sz w:val="22"/>
          <w:szCs w:val="22"/>
          <w:lang w:eastAsia="en-US"/>
        </w:rPr>
        <w:t>”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es preveuen amb un import de </w:t>
      </w:r>
      <w:r w:rsidR="00B92718">
        <w:rPr>
          <w:rFonts w:ascii="Arial" w:eastAsiaTheme="minorHAnsi" w:hAnsi="Arial" w:cs="Arial"/>
          <w:sz w:val="22"/>
          <w:szCs w:val="22"/>
          <w:lang w:eastAsia="en-US"/>
        </w:rPr>
        <w:t>9.000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,00 euros i responen a les despeses </w:t>
      </w:r>
      <w:r w:rsidR="00664902" w:rsidRPr="005A6759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>els serveis d’auditoria</w:t>
      </w:r>
      <w:r w:rsidR="00C624A1" w:rsidRPr="005A6759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assessorament fiscal </w:t>
      </w:r>
      <w:r w:rsidR="00C624A1" w:rsidRPr="005A6759">
        <w:rPr>
          <w:rFonts w:ascii="Arial" w:eastAsiaTheme="minorHAnsi" w:hAnsi="Arial" w:cs="Arial"/>
          <w:sz w:val="22"/>
          <w:szCs w:val="22"/>
          <w:lang w:eastAsia="en-US"/>
        </w:rPr>
        <w:t>i notaria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B52769A" w14:textId="77777777" w:rsidR="00F746DC" w:rsidRPr="005A6759" w:rsidRDefault="00F746DC" w:rsidP="00F746D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59CE436" w14:textId="77777777" w:rsidR="00C624A1" w:rsidRPr="00A35451" w:rsidRDefault="00F746DC" w:rsidP="00C624A1">
      <w:pPr>
        <w:jc w:val="both"/>
        <w:rPr>
          <w:rFonts w:ascii="Arial" w:hAnsi="Arial" w:cs="Arial"/>
          <w:sz w:val="22"/>
          <w:szCs w:val="22"/>
        </w:rPr>
      </w:pPr>
      <w:r w:rsidRPr="005A6759">
        <w:rPr>
          <w:rFonts w:ascii="Arial" w:eastAsiaTheme="minorHAnsi" w:hAnsi="Arial" w:cs="Arial"/>
          <w:sz w:val="22"/>
          <w:szCs w:val="22"/>
          <w:lang w:eastAsia="en-US"/>
        </w:rPr>
        <w:t>La partida “Altres serveis”</w:t>
      </w:r>
      <w:r w:rsidR="00283230" w:rsidRPr="005A6759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292817">
        <w:rPr>
          <w:rFonts w:ascii="Arial" w:eastAsiaTheme="minorHAnsi" w:hAnsi="Arial" w:cs="Arial"/>
          <w:sz w:val="22"/>
          <w:szCs w:val="22"/>
          <w:lang w:eastAsia="en-US"/>
        </w:rPr>
        <w:t xml:space="preserve"> amb un import previst de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6B1BEB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B92718">
        <w:rPr>
          <w:rFonts w:ascii="Arial" w:eastAsiaTheme="minorHAnsi" w:hAnsi="Arial" w:cs="Arial"/>
          <w:sz w:val="22"/>
          <w:szCs w:val="22"/>
          <w:lang w:eastAsia="en-US"/>
        </w:rPr>
        <w:t>0.5</w:t>
      </w:r>
      <w:r w:rsidR="00BF12FE">
        <w:rPr>
          <w:rFonts w:ascii="Arial" w:eastAsiaTheme="minorHAnsi" w:hAnsi="Arial" w:cs="Arial"/>
          <w:sz w:val="22"/>
          <w:szCs w:val="22"/>
          <w:lang w:eastAsia="en-US"/>
        </w:rPr>
        <w:t>00</w:t>
      </w:r>
      <w:r w:rsidR="0039678C" w:rsidRPr="005A6759">
        <w:rPr>
          <w:rFonts w:ascii="Arial" w:eastAsiaTheme="minorHAnsi" w:hAnsi="Arial" w:cs="Arial"/>
          <w:sz w:val="22"/>
          <w:szCs w:val="22"/>
          <w:lang w:eastAsia="en-US"/>
        </w:rPr>
        <w:t>,00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euros</w:t>
      </w:r>
      <w:r w:rsidR="009C40FC" w:rsidRPr="005A6759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C40FC"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respon </w:t>
      </w:r>
      <w:r w:rsidR="00131047"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a </w:t>
      </w:r>
      <w:r w:rsidR="00283230" w:rsidRPr="005A6759">
        <w:rPr>
          <w:rFonts w:ascii="Arial" w:eastAsiaTheme="minorHAnsi" w:hAnsi="Arial" w:cs="Arial"/>
          <w:sz w:val="22"/>
          <w:szCs w:val="22"/>
          <w:lang w:eastAsia="en-US"/>
        </w:rPr>
        <w:t>aquelles despeses</w:t>
      </w:r>
      <w:r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 relacionade</w:t>
      </w:r>
      <w:r w:rsidR="00B92718">
        <w:rPr>
          <w:rFonts w:ascii="Arial" w:eastAsiaTheme="minorHAnsi" w:hAnsi="Arial" w:cs="Arial"/>
          <w:sz w:val="22"/>
          <w:szCs w:val="22"/>
          <w:lang w:eastAsia="en-US"/>
        </w:rPr>
        <w:t xml:space="preserve">s amb activitats desenvolupades en el marc </w:t>
      </w:r>
      <w:r w:rsidR="00B92718" w:rsidRPr="00297B25">
        <w:rPr>
          <w:rFonts w:ascii="Arial" w:eastAsiaTheme="minorHAnsi" w:hAnsi="Arial" w:cs="Arial"/>
          <w:sz w:val="22"/>
          <w:szCs w:val="22"/>
          <w:lang w:eastAsia="en-US"/>
        </w:rPr>
        <w:t xml:space="preserve">de </w:t>
      </w:r>
      <w:r w:rsidR="00297B25" w:rsidRPr="00297B25">
        <w:rPr>
          <w:rFonts w:ascii="Arial" w:eastAsiaTheme="minorHAnsi" w:hAnsi="Arial" w:cs="Arial"/>
          <w:sz w:val="22"/>
          <w:szCs w:val="22"/>
          <w:lang w:eastAsia="en-US"/>
        </w:rPr>
        <w:t>les activitats que es desenvolupin</w:t>
      </w:r>
      <w:r w:rsidR="006B1BEB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131047" w:rsidRPr="00297B2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31047"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així com </w:t>
      </w:r>
      <w:r w:rsidR="005A6759"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altres </w:t>
      </w:r>
      <w:r w:rsidR="00131047" w:rsidRPr="005A6759">
        <w:rPr>
          <w:rFonts w:ascii="Arial" w:eastAsiaTheme="minorHAnsi" w:hAnsi="Arial" w:cs="Arial"/>
          <w:sz w:val="22"/>
          <w:szCs w:val="22"/>
          <w:lang w:eastAsia="en-US"/>
        </w:rPr>
        <w:t xml:space="preserve">despeses </w:t>
      </w:r>
      <w:r w:rsidR="005A6759" w:rsidRPr="005A6759">
        <w:rPr>
          <w:rFonts w:ascii="Arial" w:eastAsiaTheme="minorHAnsi" w:hAnsi="Arial" w:cs="Arial"/>
          <w:sz w:val="22"/>
          <w:szCs w:val="22"/>
          <w:lang w:eastAsia="en-US"/>
        </w:rPr>
        <w:t>pròpies de la</w:t>
      </w:r>
      <w:r w:rsidR="005A6759" w:rsidRPr="005A6759">
        <w:rPr>
          <w:rFonts w:ascii="Arial" w:hAnsi="Arial" w:cs="Arial"/>
          <w:sz w:val="22"/>
          <w:szCs w:val="22"/>
        </w:rPr>
        <w:t xml:space="preserve"> Fundació.</w:t>
      </w:r>
    </w:p>
    <w:p w14:paraId="7EEBC59A" w14:textId="77777777" w:rsidR="00F746DC" w:rsidRDefault="00F746DC" w:rsidP="00F746DC">
      <w:pPr>
        <w:jc w:val="both"/>
        <w:rPr>
          <w:rFonts w:ascii="Arial" w:hAnsi="Arial" w:cs="Arial"/>
          <w:sz w:val="22"/>
          <w:szCs w:val="22"/>
        </w:rPr>
      </w:pPr>
    </w:p>
    <w:p w14:paraId="3608AAEB" w14:textId="77777777" w:rsidR="00292817" w:rsidRDefault="00292817" w:rsidP="00F746DC">
      <w:pPr>
        <w:jc w:val="both"/>
        <w:rPr>
          <w:rFonts w:ascii="Arial" w:hAnsi="Arial" w:cs="Arial"/>
          <w:sz w:val="22"/>
          <w:szCs w:val="22"/>
        </w:rPr>
      </w:pPr>
    </w:p>
    <w:p w14:paraId="0591CA86" w14:textId="77777777" w:rsidR="00292817" w:rsidRPr="00A35451" w:rsidRDefault="00292817" w:rsidP="00F746DC">
      <w:pPr>
        <w:jc w:val="both"/>
        <w:rPr>
          <w:rFonts w:ascii="Arial" w:hAnsi="Arial" w:cs="Arial"/>
          <w:sz w:val="22"/>
          <w:szCs w:val="22"/>
        </w:rPr>
      </w:pPr>
    </w:p>
    <w:p w14:paraId="45131F4A" w14:textId="77777777" w:rsidR="0016541A" w:rsidRPr="00A35451" w:rsidRDefault="00F746DC" w:rsidP="00F746DC">
      <w:pPr>
        <w:jc w:val="both"/>
        <w:rPr>
          <w:rFonts w:ascii="Arial" w:hAnsi="Arial" w:cs="Arial"/>
          <w:sz w:val="22"/>
          <w:szCs w:val="22"/>
        </w:rPr>
      </w:pPr>
      <w:r w:rsidRPr="00A35451">
        <w:rPr>
          <w:rFonts w:ascii="Arial" w:hAnsi="Arial" w:cs="Arial"/>
          <w:sz w:val="22"/>
          <w:szCs w:val="22"/>
        </w:rPr>
        <w:t>Respecte a la despesa de personal, es preveu seguir tr</w:t>
      </w:r>
      <w:r w:rsidR="0016541A" w:rsidRPr="00A35451">
        <w:rPr>
          <w:rFonts w:ascii="Arial" w:hAnsi="Arial" w:cs="Arial"/>
          <w:sz w:val="22"/>
          <w:szCs w:val="22"/>
        </w:rPr>
        <w:t>eballant sense plantilla pròpia.</w:t>
      </w:r>
      <w:r w:rsidRPr="00A35451">
        <w:rPr>
          <w:rFonts w:ascii="Arial" w:hAnsi="Arial" w:cs="Arial"/>
          <w:sz w:val="22"/>
          <w:szCs w:val="22"/>
        </w:rPr>
        <w:t xml:space="preserve"> </w:t>
      </w:r>
    </w:p>
    <w:p w14:paraId="09A444F5" w14:textId="77777777" w:rsidR="0016541A" w:rsidRPr="00A35451" w:rsidRDefault="0016541A" w:rsidP="00F746DC">
      <w:pPr>
        <w:jc w:val="both"/>
        <w:rPr>
          <w:rFonts w:ascii="Arial" w:hAnsi="Arial" w:cs="Arial"/>
          <w:sz w:val="22"/>
          <w:szCs w:val="22"/>
        </w:rPr>
      </w:pPr>
    </w:p>
    <w:p w14:paraId="7DF63421" w14:textId="77777777" w:rsidR="00FF3A82" w:rsidRDefault="00FF3A82" w:rsidP="00F746DC">
      <w:pPr>
        <w:jc w:val="both"/>
        <w:rPr>
          <w:rFonts w:ascii="Arial" w:hAnsi="Arial" w:cs="Arial"/>
          <w:sz w:val="22"/>
          <w:szCs w:val="22"/>
        </w:rPr>
      </w:pPr>
    </w:p>
    <w:p w14:paraId="693AE0FA" w14:textId="77777777" w:rsidR="00B22CD5" w:rsidRPr="009051D9" w:rsidRDefault="00B22CD5" w:rsidP="00F746DC">
      <w:pPr>
        <w:jc w:val="both"/>
        <w:rPr>
          <w:rFonts w:ascii="Arial" w:hAnsi="Arial" w:cs="Arial"/>
          <w:sz w:val="22"/>
          <w:szCs w:val="22"/>
        </w:rPr>
      </w:pPr>
    </w:p>
    <w:p w14:paraId="12D5D4ED" w14:textId="77777777" w:rsidR="00F746DC" w:rsidRDefault="00F746DC" w:rsidP="00F746DC">
      <w:pPr>
        <w:jc w:val="both"/>
        <w:rPr>
          <w:sz w:val="22"/>
          <w:szCs w:val="22"/>
        </w:rPr>
      </w:pPr>
    </w:p>
    <w:p w14:paraId="30565679" w14:textId="6B5E6CAA" w:rsidR="00F746DC" w:rsidRPr="00E75A75" w:rsidRDefault="00F746DC" w:rsidP="00A24F82">
      <w:pPr>
        <w:ind w:left="4956"/>
        <w:jc w:val="right"/>
        <w:rPr>
          <w:rFonts w:ascii="Arial" w:hAnsi="Arial" w:cs="Arial"/>
          <w:sz w:val="22"/>
          <w:szCs w:val="22"/>
        </w:rPr>
      </w:pPr>
      <w:r w:rsidRPr="009051D9">
        <w:rPr>
          <w:rFonts w:ascii="Arial" w:hAnsi="Arial" w:cs="Arial"/>
          <w:sz w:val="22"/>
          <w:szCs w:val="22"/>
        </w:rPr>
        <w:t xml:space="preserve">Barcelona, </w:t>
      </w:r>
      <w:r w:rsidR="0066411F">
        <w:rPr>
          <w:rFonts w:ascii="Arial" w:hAnsi="Arial" w:cs="Arial"/>
          <w:sz w:val="22"/>
          <w:szCs w:val="22"/>
        </w:rPr>
        <w:t>9 de setembre de 2025</w:t>
      </w:r>
    </w:p>
    <w:sectPr w:rsidR="00F746DC" w:rsidRPr="00E75A75" w:rsidSect="00E342FD">
      <w:headerReference w:type="default" r:id="rId8"/>
      <w:pgSz w:w="11906" w:h="16838"/>
      <w:pgMar w:top="23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D6F46" w14:textId="77777777" w:rsidR="00292817" w:rsidRDefault="00292817" w:rsidP="00E3490D">
      <w:r>
        <w:separator/>
      </w:r>
    </w:p>
  </w:endnote>
  <w:endnote w:type="continuationSeparator" w:id="0">
    <w:p w14:paraId="556EE8B9" w14:textId="77777777" w:rsidR="00292817" w:rsidRDefault="00292817" w:rsidP="00E3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Ne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854B" w14:textId="77777777" w:rsidR="00292817" w:rsidRDefault="00292817" w:rsidP="00E3490D">
      <w:r>
        <w:separator/>
      </w:r>
    </w:p>
  </w:footnote>
  <w:footnote w:type="continuationSeparator" w:id="0">
    <w:p w14:paraId="77D81455" w14:textId="77777777" w:rsidR="00292817" w:rsidRDefault="00292817" w:rsidP="00E34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C47" w14:textId="77777777" w:rsidR="00292817" w:rsidRDefault="00292817" w:rsidP="002A71A0">
    <w:pPr>
      <w:pStyle w:val="Capalera"/>
      <w:jc w:val="center"/>
    </w:pPr>
    <w:r>
      <w:rPr>
        <w:noProof/>
        <w:lang w:eastAsia="ca-ES"/>
      </w:rPr>
      <w:drawing>
        <wp:inline distT="0" distB="0" distL="0" distR="0" wp14:anchorId="240821AF" wp14:editId="6700F6B6">
          <wp:extent cx="3495675" cy="552450"/>
          <wp:effectExtent l="19050" t="0" r="9525" b="0"/>
          <wp:docPr id="9" name="Imatge 9" descr="C:\Documents and Settings\ANC0297\Escritorio\logo funda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NC0297\Escritorio\logo fundaci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6DC"/>
    <w:rsid w:val="000205D4"/>
    <w:rsid w:val="000269DB"/>
    <w:rsid w:val="000A60E7"/>
    <w:rsid w:val="000E2606"/>
    <w:rsid w:val="0011105C"/>
    <w:rsid w:val="00131047"/>
    <w:rsid w:val="0016541A"/>
    <w:rsid w:val="00190E5C"/>
    <w:rsid w:val="001A5FEA"/>
    <w:rsid w:val="001C6084"/>
    <w:rsid w:val="00220D36"/>
    <w:rsid w:val="002539C1"/>
    <w:rsid w:val="00266F94"/>
    <w:rsid w:val="00267818"/>
    <w:rsid w:val="00276E78"/>
    <w:rsid w:val="00283230"/>
    <w:rsid w:val="00292817"/>
    <w:rsid w:val="00297B25"/>
    <w:rsid w:val="002A71A0"/>
    <w:rsid w:val="002B5393"/>
    <w:rsid w:val="002C17BE"/>
    <w:rsid w:val="00322A24"/>
    <w:rsid w:val="0039678C"/>
    <w:rsid w:val="003D246B"/>
    <w:rsid w:val="003F650C"/>
    <w:rsid w:val="0043267C"/>
    <w:rsid w:val="004703D3"/>
    <w:rsid w:val="00492F3C"/>
    <w:rsid w:val="00497499"/>
    <w:rsid w:val="00497A0B"/>
    <w:rsid w:val="004B2057"/>
    <w:rsid w:val="00534DB5"/>
    <w:rsid w:val="005377CB"/>
    <w:rsid w:val="0057018A"/>
    <w:rsid w:val="005710C1"/>
    <w:rsid w:val="00594FC2"/>
    <w:rsid w:val="005A6759"/>
    <w:rsid w:val="006072E6"/>
    <w:rsid w:val="00647F0E"/>
    <w:rsid w:val="0066411F"/>
    <w:rsid w:val="00664902"/>
    <w:rsid w:val="006B1BEB"/>
    <w:rsid w:val="006D0463"/>
    <w:rsid w:val="006F2A6B"/>
    <w:rsid w:val="00760893"/>
    <w:rsid w:val="00760C88"/>
    <w:rsid w:val="007637FF"/>
    <w:rsid w:val="0076769A"/>
    <w:rsid w:val="007859A7"/>
    <w:rsid w:val="007B0E4C"/>
    <w:rsid w:val="007C2254"/>
    <w:rsid w:val="007F34BE"/>
    <w:rsid w:val="00811EB7"/>
    <w:rsid w:val="0084167D"/>
    <w:rsid w:val="008664A3"/>
    <w:rsid w:val="00870843"/>
    <w:rsid w:val="00884764"/>
    <w:rsid w:val="00894E94"/>
    <w:rsid w:val="00896D78"/>
    <w:rsid w:val="008C0B1E"/>
    <w:rsid w:val="008C67DA"/>
    <w:rsid w:val="008E624E"/>
    <w:rsid w:val="009157F2"/>
    <w:rsid w:val="00995A57"/>
    <w:rsid w:val="009B7169"/>
    <w:rsid w:val="009C40FC"/>
    <w:rsid w:val="00A24F82"/>
    <w:rsid w:val="00A35451"/>
    <w:rsid w:val="00A41C1B"/>
    <w:rsid w:val="00A777AB"/>
    <w:rsid w:val="00A94AD4"/>
    <w:rsid w:val="00AA160D"/>
    <w:rsid w:val="00AA484E"/>
    <w:rsid w:val="00AA5EFB"/>
    <w:rsid w:val="00B17392"/>
    <w:rsid w:val="00B22CD5"/>
    <w:rsid w:val="00B46246"/>
    <w:rsid w:val="00B73408"/>
    <w:rsid w:val="00B92718"/>
    <w:rsid w:val="00BC3E17"/>
    <w:rsid w:val="00BC7F9A"/>
    <w:rsid w:val="00BF12FE"/>
    <w:rsid w:val="00C056C1"/>
    <w:rsid w:val="00C159FB"/>
    <w:rsid w:val="00C46540"/>
    <w:rsid w:val="00C500FA"/>
    <w:rsid w:val="00C52E95"/>
    <w:rsid w:val="00C624A1"/>
    <w:rsid w:val="00CC2D81"/>
    <w:rsid w:val="00CD77AA"/>
    <w:rsid w:val="00CF70E5"/>
    <w:rsid w:val="00CF762B"/>
    <w:rsid w:val="00D051FC"/>
    <w:rsid w:val="00D13DA3"/>
    <w:rsid w:val="00D936F1"/>
    <w:rsid w:val="00D95227"/>
    <w:rsid w:val="00DB4F55"/>
    <w:rsid w:val="00DC088A"/>
    <w:rsid w:val="00DD5409"/>
    <w:rsid w:val="00DF4176"/>
    <w:rsid w:val="00DF60E8"/>
    <w:rsid w:val="00E116C9"/>
    <w:rsid w:val="00E342FD"/>
    <w:rsid w:val="00E3490D"/>
    <w:rsid w:val="00E548F3"/>
    <w:rsid w:val="00E92711"/>
    <w:rsid w:val="00EF55F0"/>
    <w:rsid w:val="00F216E3"/>
    <w:rsid w:val="00F254D6"/>
    <w:rsid w:val="00F352C0"/>
    <w:rsid w:val="00F741F9"/>
    <w:rsid w:val="00F746DC"/>
    <w:rsid w:val="00F8199F"/>
    <w:rsid w:val="00FD6FE9"/>
    <w:rsid w:val="00FE0097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D19B"/>
  <w15:docId w15:val="{47B697D2-4D8B-43CF-B525-3BFE1ED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F746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E3490D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E3490D"/>
  </w:style>
  <w:style w:type="paragraph" w:styleId="Peu">
    <w:name w:val="footer"/>
    <w:basedOn w:val="Normal"/>
    <w:link w:val="PeuCar"/>
    <w:uiPriority w:val="99"/>
    <w:unhideWhenUsed/>
    <w:rsid w:val="00E3490D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E3490D"/>
  </w:style>
  <w:style w:type="paragraph" w:styleId="Textdeglobus">
    <w:name w:val="Balloon Text"/>
    <w:basedOn w:val="Normal"/>
    <w:link w:val="TextdeglobusCar"/>
    <w:uiPriority w:val="99"/>
    <w:semiHidden/>
    <w:unhideWhenUsed/>
    <w:rsid w:val="00E3490D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E3490D"/>
    <w:rPr>
      <w:rFonts w:ascii="Tahoma" w:hAnsi="Tahoma" w:cs="Tahoma"/>
      <w:sz w:val="16"/>
      <w:szCs w:val="16"/>
    </w:rPr>
  </w:style>
  <w:style w:type="character" w:customStyle="1" w:styleId="Ttol2Car">
    <w:name w:val="Títol 2 Car"/>
    <w:basedOn w:val="Lletraperdefectedelpargraf"/>
    <w:link w:val="Ttol2"/>
    <w:uiPriority w:val="9"/>
    <w:rsid w:val="00F746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agniadetextindependent31">
    <w:name w:val="Sagnia de text independent 31"/>
    <w:basedOn w:val="Normal"/>
    <w:rsid w:val="00F746DC"/>
    <w:pPr>
      <w:tabs>
        <w:tab w:val="right" w:pos="567"/>
        <w:tab w:val="left" w:pos="851"/>
        <w:tab w:val="left" w:pos="1134"/>
        <w:tab w:val="left" w:pos="1418"/>
        <w:tab w:val="left" w:pos="1701"/>
        <w:tab w:val="left" w:pos="1985"/>
      </w:tabs>
      <w:ind w:left="1134" w:hanging="1134"/>
      <w:jc w:val="both"/>
    </w:pPr>
    <w:rPr>
      <w:kern w:val="28"/>
      <w:szCs w:val="20"/>
    </w:rPr>
  </w:style>
  <w:style w:type="character" w:styleId="mfasi">
    <w:name w:val="Emphasis"/>
    <w:basedOn w:val="Lletraperdefectedelpargraf"/>
    <w:uiPriority w:val="20"/>
    <w:qFormat/>
    <w:rsid w:val="00F254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1B3A91AC2A8A4B8F181EAA8A1B531D" ma:contentTypeVersion="3" ma:contentTypeDescription="Crea un document nou" ma:contentTypeScope="" ma:versionID="c621112db9599c2289fc2741c04721c0">
  <xsd:schema xmlns:xsd="http://www.w3.org/2001/XMLSchema" xmlns:xs="http://www.w3.org/2001/XMLSchema" xmlns:p="http://schemas.microsoft.com/office/2006/metadata/properties" xmlns:ns2="fb719901-3445-46f8-a527-ea420480e422" targetNamespace="http://schemas.microsoft.com/office/2006/metadata/properties" ma:root="true" ma:fieldsID="e2721dcf6112c67d491071d99f33a609" ns2:_="">
    <xsd:import namespace="fb719901-3445-46f8-a527-ea420480e4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719901-3445-46f8-a527-ea420480e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15CC6B-BFFF-404A-8EDD-29D61D2DF9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E7FBB3-3B9E-4E6E-948A-07965FC0D385}"/>
</file>

<file path=customXml/itemProps3.xml><?xml version="1.0" encoding="utf-8"?>
<ds:datastoreItem xmlns:ds="http://schemas.openxmlformats.org/officeDocument/2006/customXml" ds:itemID="{7AD56813-808B-407E-915D-E9A8AC741952}"/>
</file>

<file path=customXml/itemProps4.xml><?xml version="1.0" encoding="utf-8"?>
<ds:datastoreItem xmlns:ds="http://schemas.openxmlformats.org/officeDocument/2006/customXml" ds:itemID="{D0F96697-6E7C-4576-B2C3-D4E8BB98CF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1772</Words>
  <Characters>10104</Characters>
  <Application>Microsoft Office Word</Application>
  <DocSecurity>4</DocSecurity>
  <Lines>84</Lines>
  <Paragraphs>23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Ajuntament de Barcelona</dc:creator>
  <cp:lastModifiedBy>VAZQUEZ SOLSONA, LAURA</cp:lastModifiedBy>
  <cp:revision>2</cp:revision>
  <cp:lastPrinted>2024-10-22T09:21:00Z</cp:lastPrinted>
  <dcterms:created xsi:type="dcterms:W3CDTF">2025-09-09T11:04:00Z</dcterms:created>
  <dcterms:modified xsi:type="dcterms:W3CDTF">2025-09-09T11:04:00Z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0x010100F51B3A91AC2A8A4B8F181EAA8A1B531D</vt:lpwstr>
  </property>
</Properties>
</file>